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1660" cy="2896235"/>
            <wp:effectExtent l="0" t="0" r="8890" b="18415"/>
            <wp:docPr id="1" name="图片 1" descr="不能更改的参数和连接尺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不能更改的参数和连接尺寸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1660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以上</w:t>
      </w:r>
      <w:r>
        <w:rPr>
          <w:rFonts w:hint="eastAsia" w:eastAsiaTheme="minorEastAsia"/>
          <w:lang w:eastAsia="zh-CN"/>
        </w:rPr>
        <w:t>图纸中表格里的数据不能动。其它</w:t>
      </w:r>
      <w:r>
        <w:rPr>
          <w:rFonts w:hint="eastAsia"/>
          <w:lang w:eastAsia="zh-CN"/>
        </w:rPr>
        <w:t>数据</w:t>
      </w:r>
      <w:r>
        <w:rPr>
          <w:rFonts w:hint="eastAsia" w:eastAsiaTheme="minorEastAsia"/>
          <w:lang w:eastAsia="zh-CN"/>
        </w:rPr>
        <w:t>可以根据您公司的技术能力变动。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材质：中间的轴</w:t>
      </w:r>
      <w:r>
        <w:rPr>
          <w:rFonts w:hint="eastAsia"/>
          <w:lang w:val="en-US" w:eastAsia="zh-CN"/>
        </w:rPr>
        <w:t>42CrMo,两端十字轴20CrMnTi,两端排头：ZG40Cr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t>请报出厂含税价（含免熏蒸包装木箱）和至上海</w:t>
      </w:r>
      <w:r>
        <w:rPr>
          <w:rFonts w:hint="eastAsia"/>
          <w:lang w:eastAsia="zh-CN"/>
        </w:rPr>
        <w:t>港</w:t>
      </w:r>
      <w:r>
        <w:rPr>
          <w:rFonts w:hint="eastAsia" w:eastAsiaTheme="minorEastAsia"/>
          <w:lang w:eastAsia="zh-CN"/>
        </w:rPr>
        <w:t>的运费，生产周期。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81AC5"/>
    <w:rsid w:val="1B0E0E82"/>
    <w:rsid w:val="2202535E"/>
    <w:rsid w:val="650B6521"/>
    <w:rsid w:val="6E78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2019-01-29T07:42:00Z</dcterms:created>
  <dc:creator>Administrator</dc:creator>
  <cp:lastModifiedBy>益其人</cp:lastModifiedBy>
  <dcterms:modified xsi:type="dcterms:W3CDTF">2019-02-27T05:32:13Z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