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"/>
        <w:rPr>
          <w:rFonts w:ascii="Times New Roman"/>
          <w:sz w:val="17"/>
        </w:rPr>
      </w:pPr>
    </w:p>
    <w:p>
      <w:pPr>
        <w:pStyle w:val="3"/>
        <w:ind w:left="143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76400" cy="1752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73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6"/>
        <w:rPr>
          <w:rFonts w:ascii="Times New Roman"/>
          <w:sz w:val="5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913765</wp:posOffset>
            </wp:positionH>
            <wp:positionV relativeFrom="paragraph">
              <wp:posOffset>65405</wp:posOffset>
            </wp:positionV>
            <wp:extent cx="2987040" cy="10191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342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line="515" w:lineRule="exact"/>
        <w:ind w:left="479" w:right="0" w:firstLine="0"/>
        <w:jc w:val="left"/>
        <w:rPr>
          <w:sz w:val="48"/>
        </w:rPr>
      </w:pPr>
      <w:r>
        <w:rPr>
          <w:sz w:val="48"/>
        </w:rPr>
        <w:t>1751-013</w:t>
      </w:r>
    </w:p>
    <w:p>
      <w:pPr>
        <w:spacing w:before="1"/>
        <w:ind w:left="479" w:right="0" w:firstLine="0"/>
        <w:jc w:val="left"/>
        <w:rPr>
          <w:i/>
          <w:sz w:val="20"/>
        </w:rPr>
      </w:pPr>
      <w:r>
        <w:rPr>
          <w:i/>
          <w:color w:val="313131"/>
          <w:sz w:val="20"/>
        </w:rPr>
        <w:t>1751 Regulator Series</w:t>
      </w:r>
    </w:p>
    <w:p>
      <w:pPr>
        <w:pStyle w:val="3"/>
        <w:ind w:left="479" w:right="1683"/>
      </w:pPr>
      <w:r>
        <w:rPr>
          <w:color w:val="313131"/>
        </w:rPr>
        <w:t>The Robertshaw® 1751 Series Add-on Pressure Regulator Kits are available for use on the following factory model types: 7000, 7010, 7100, 7200 and 7222. Each 1751 pressure regulator kit provides straight-line regulation and includes all the necessary parts including instructions to convert a specific factory model gas valve.</w:t>
      </w:r>
    </w:p>
    <w:p>
      <w:pPr>
        <w:pStyle w:val="3"/>
        <w:rPr>
          <w:sz w:val="20"/>
        </w:rPr>
      </w:pPr>
    </w:p>
    <w:p>
      <w:pPr>
        <w:pStyle w:val="3"/>
        <w:spacing w:before="10"/>
      </w:pPr>
    </w:p>
    <w:p>
      <w:pPr>
        <w:pStyle w:val="3"/>
        <w:ind w:left="479"/>
      </w:pPr>
      <w:r>
        <w:rPr>
          <w:color w:val="313131"/>
        </w:rPr>
        <w:t>Features and Benefits</w:t>
      </w:r>
    </w:p>
    <w:p>
      <w:pPr>
        <w:pStyle w:val="3"/>
        <w:spacing w:before="4"/>
        <w:rPr>
          <w:sz w:val="24"/>
        </w:rPr>
      </w:pPr>
    </w:p>
    <w:p>
      <w:pPr>
        <w:pStyle w:val="8"/>
        <w:numPr>
          <w:ilvl w:val="0"/>
          <w:numId w:val="1"/>
        </w:numPr>
        <w:tabs>
          <w:tab w:val="left" w:pos="479"/>
          <w:tab w:val="left" w:pos="480"/>
        </w:tabs>
        <w:spacing w:before="0" w:after="0" w:line="240" w:lineRule="auto"/>
        <w:ind w:left="479" w:right="0" w:hanging="361"/>
        <w:jc w:val="left"/>
        <w:rPr>
          <w:sz w:val="21"/>
        </w:rPr>
      </w:pPr>
      <w:r>
        <w:rPr>
          <w:color w:val="313131"/>
          <w:sz w:val="21"/>
        </w:rPr>
        <w:t>Converts natural gas to</w:t>
      </w:r>
      <w:r>
        <w:rPr>
          <w:color w:val="313131"/>
          <w:spacing w:val="-4"/>
          <w:sz w:val="21"/>
        </w:rPr>
        <w:t xml:space="preserve"> </w:t>
      </w:r>
      <w:r>
        <w:rPr>
          <w:color w:val="313131"/>
          <w:sz w:val="21"/>
        </w:rPr>
        <w:t>LP</w:t>
      </w:r>
    </w:p>
    <w:p>
      <w:pPr>
        <w:pStyle w:val="8"/>
        <w:numPr>
          <w:ilvl w:val="0"/>
          <w:numId w:val="1"/>
        </w:numPr>
        <w:tabs>
          <w:tab w:val="left" w:pos="479"/>
          <w:tab w:val="left" w:pos="480"/>
        </w:tabs>
        <w:spacing w:before="2" w:after="0" w:line="244" w:lineRule="exact"/>
        <w:ind w:left="479" w:right="0" w:hanging="361"/>
        <w:jc w:val="left"/>
        <w:rPr>
          <w:sz w:val="21"/>
        </w:rPr>
      </w:pPr>
      <w:r>
        <w:rPr>
          <w:color w:val="313131"/>
          <w:sz w:val="21"/>
        </w:rPr>
        <w:t>Not for use with hydraulic models which cannot be field</w:t>
      </w:r>
      <w:r>
        <w:rPr>
          <w:color w:val="313131"/>
          <w:spacing w:val="-16"/>
          <w:sz w:val="21"/>
        </w:rPr>
        <w:t xml:space="preserve"> </w:t>
      </w:r>
      <w:r>
        <w:rPr>
          <w:color w:val="313131"/>
          <w:sz w:val="21"/>
        </w:rPr>
        <w:t>converted</w:t>
      </w:r>
    </w:p>
    <w:p>
      <w:pPr>
        <w:pStyle w:val="8"/>
        <w:numPr>
          <w:ilvl w:val="0"/>
          <w:numId w:val="1"/>
        </w:numPr>
        <w:tabs>
          <w:tab w:val="left" w:pos="479"/>
          <w:tab w:val="left" w:pos="480"/>
        </w:tabs>
        <w:spacing w:before="0" w:after="0" w:line="244" w:lineRule="exact"/>
        <w:ind w:left="479" w:right="0" w:hanging="361"/>
        <w:jc w:val="left"/>
        <w:rPr>
          <w:sz w:val="21"/>
        </w:rPr>
      </w:pPr>
      <w:r>
        <w:rPr>
          <w:color w:val="313131"/>
          <w:sz w:val="21"/>
        </w:rPr>
        <w:t>Includes all necessary parts for easy regulation</w:t>
      </w:r>
      <w:r>
        <w:rPr>
          <w:color w:val="313131"/>
          <w:spacing w:val="-14"/>
          <w:sz w:val="21"/>
        </w:rPr>
        <w:t xml:space="preserve"> </w:t>
      </w:r>
      <w:r>
        <w:rPr>
          <w:color w:val="313131"/>
          <w:sz w:val="21"/>
        </w:rPr>
        <w:t>conversion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3"/>
        </w:rPr>
      </w:pPr>
    </w:p>
    <w:p>
      <w:pPr>
        <w:pStyle w:val="8"/>
        <w:numPr>
          <w:ilvl w:val="1"/>
          <w:numId w:val="1"/>
        </w:numPr>
        <w:tabs>
          <w:tab w:val="left" w:pos="1199"/>
          <w:tab w:val="left" w:pos="1200"/>
        </w:tabs>
        <w:spacing w:before="74" w:after="0" w:line="240" w:lineRule="auto"/>
        <w:ind w:left="1200" w:right="0" w:hanging="361"/>
        <w:jc w:val="left"/>
        <w:rPr>
          <w:sz w:val="24"/>
        </w:rPr>
      </w:pPr>
      <w:r>
        <w:rPr>
          <w:color w:val="FFFFFF"/>
          <w:sz w:val="24"/>
          <w:shd w:val="clear" w:color="auto" w:fill="BD242F"/>
        </w:rPr>
        <w:t>ATTRIBUTES</w:t>
      </w:r>
    </w:p>
    <w:p>
      <w:pPr>
        <w:pStyle w:val="2"/>
        <w:tabs>
          <w:tab w:val="left" w:pos="6851"/>
        </w:tabs>
        <w:spacing w:before="44"/>
      </w:pPr>
      <w:r>
        <w:pict>
          <v:shape id="_x0000_s1026" o:spid="_x0000_s1026" o:spt="202" type="#_x0000_t202" style="position:absolute;left:0pt;margin-left:62.95pt;margin-top:18.4pt;height:18.4pt;width:512.3pt;mso-position-horizontal-relative:page;mso-wrap-distance-bottom:0pt;mso-wrap-distance-top:0pt;z-index:-251657216;mso-width-relative:page;mso-height-relative:page;" fillcolor="#E1E1E1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6551"/>
                    </w:tabs>
                    <w:spacing w:before="42"/>
                    <w:ind w:left="179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>Adjustable WC</w:t>
                  </w:r>
                  <w:r>
                    <w:rPr>
                      <w:rFonts w:ascii="Times New Roman"/>
                      <w:b/>
                      <w:color w:val="6E6E6E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>Pressure</w:t>
                  </w:r>
                  <w:r>
                    <w:rPr>
                      <w:rFonts w:ascii="Times New Roman"/>
                      <w:b/>
                      <w:color w:val="6E6E6E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>Low/High</w:t>
                  </w: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ab/>
                  </w: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>8" /</w:t>
                  </w:r>
                  <w:r>
                    <w:rPr>
                      <w:rFonts w:ascii="Times New Roman"/>
                      <w:b/>
                      <w:color w:val="6E6E6E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>12"</w:t>
                  </w:r>
                </w:p>
              </w:txbxContent>
            </v:textbox>
            <w10:wrap type="topAndBottom"/>
          </v:shape>
        </w:pict>
      </w:r>
      <w:r>
        <w:rPr>
          <w:color w:val="6E6E6E"/>
        </w:rPr>
        <w:t>Series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Application</w:t>
      </w:r>
      <w:r>
        <w:rPr>
          <w:color w:val="6E6E6E"/>
        </w:rPr>
        <w:tab/>
      </w:r>
      <w:r>
        <w:rPr>
          <w:color w:val="6E6E6E"/>
        </w:rPr>
        <w:t>Add-On Pressure Regulator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Kit</w:t>
      </w:r>
    </w:p>
    <w:p>
      <w:pPr>
        <w:tabs>
          <w:tab w:val="left" w:pos="6851"/>
        </w:tabs>
        <w:spacing w:before="25" w:after="49"/>
        <w:ind w:left="479" w:right="0" w:firstLine="0"/>
        <w:jc w:val="left"/>
        <w:rPr>
          <w:rFonts w:ascii="Times New Roman"/>
          <w:b/>
          <w:color w:val="6E6E6E"/>
          <w:sz w:val="24"/>
        </w:rPr>
      </w:pPr>
      <w:r>
        <w:rPr>
          <w:rFonts w:ascii="Times New Roman"/>
          <w:b/>
          <w:color w:val="6E6E6E"/>
          <w:sz w:val="24"/>
        </w:rPr>
        <w:t>Regulator</w:t>
      </w:r>
      <w:r>
        <w:rPr>
          <w:rFonts w:ascii="Times New Roman"/>
          <w:b/>
          <w:color w:val="6E6E6E"/>
          <w:spacing w:val="-2"/>
          <w:sz w:val="24"/>
        </w:rPr>
        <w:t xml:space="preserve"> </w:t>
      </w:r>
      <w:r>
        <w:rPr>
          <w:rFonts w:ascii="Times New Roman"/>
          <w:b/>
          <w:color w:val="6E6E6E"/>
          <w:sz w:val="24"/>
        </w:rPr>
        <w:t>Type</w:t>
      </w:r>
      <w:r>
        <w:rPr>
          <w:rFonts w:ascii="Times New Roman"/>
          <w:b/>
          <w:color w:val="6E6E6E"/>
          <w:sz w:val="24"/>
        </w:rPr>
        <w:tab/>
      </w:r>
      <w:r>
        <w:rPr>
          <w:rFonts w:ascii="Times New Roman"/>
          <w:b/>
          <w:color w:val="6E6E6E"/>
          <w:sz w:val="24"/>
        </w:rPr>
        <w:t>11.0" WC LP</w:t>
      </w:r>
      <w:r>
        <w:rPr>
          <w:rFonts w:ascii="Times New Roman"/>
          <w:b/>
          <w:color w:val="6E6E6E"/>
          <w:spacing w:val="-3"/>
          <w:sz w:val="24"/>
        </w:rPr>
        <w:t xml:space="preserve"> </w:t>
      </w:r>
      <w:r>
        <w:rPr>
          <w:rFonts w:ascii="Times New Roman"/>
          <w:b/>
          <w:color w:val="6E6E6E"/>
          <w:sz w:val="24"/>
        </w:rPr>
        <w:t>Gas</w:t>
      </w:r>
    </w:p>
    <w:p>
      <w:pPr>
        <w:tabs>
          <w:tab w:val="left" w:pos="6851"/>
        </w:tabs>
        <w:spacing w:before="25" w:after="49"/>
        <w:ind w:left="479" w:right="0" w:firstLine="0"/>
        <w:jc w:val="left"/>
        <w:rPr>
          <w:rFonts w:ascii="Times New Roman"/>
          <w:b/>
          <w:color w:val="6E6E6E"/>
          <w:sz w:val="24"/>
        </w:rPr>
      </w:pPr>
    </w:p>
    <w:p>
      <w:pPr>
        <w:pStyle w:val="3"/>
        <w:ind w:left="3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7" o:spid="_x0000_s1027" o:spt="203" style="height:32.2pt;width:512.3pt;" coordsize="10246,644">
            <o:lock v:ext="edit"/>
            <v:rect id="_x0000_s1028" o:spid="_x0000_s1028" o:spt="1" style="position:absolute;left:0;top:0;height:644;width:6372;" fillcolor="#E1E1E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29" o:spid="_x0000_s1029" o:spt="1" style="position:absolute;left:180;top:182;height:276;width:6012;" fillcolor="#E1E1E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0" o:spid="_x0000_s1030" o:spt="1" style="position:absolute;left:6372;top:0;height:644;width:3874;" fillcolor="#E1E1E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1" o:spid="_x0000_s1031" o:spt="1" style="position:absolute;left:6552;top:45;height:276;width:3514;" fillcolor="#E1E1E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2" o:spid="_x0000_s1032" o:spt="1" style="position:absolute;left:6552;top:321;height:276;width:3514;" fillcolor="#E1E1E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3" o:spid="_x0000_s1033" o:spt="1" style="position:absolute;left:0;top:0;height:46;width:6372;" fillcolor="#E1E1E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4" o:spid="_x0000_s1034" o:spt="1" style="position:absolute;left:6372;top:0;height:46;width:3874;" fillcolor="#E1E1E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5" o:spid="_x0000_s1035" o:spt="1" style="position:absolute;left:0;top:595;height:46;width:6372;" fillcolor="#E1E1E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6" o:spid="_x0000_s1036" o:spt="1" style="position:absolute;left:6372;top:595;height:46;width:3874;" fillcolor="#E1E1E1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7" o:spid="_x0000_s1037" o:spt="202" type="#_x0000_t202" style="position:absolute;left:6552;top:81;height:516;width:323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7" w:lineRule="exact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6E6E6E"/>
                        <w:sz w:val="24"/>
                      </w:rPr>
                      <w:t>Except hydraulic models which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6E6E6E"/>
                        <w:sz w:val="24"/>
                      </w:rPr>
                      <w:t>cannot be field converted</w:t>
                    </w:r>
                  </w:p>
                </w:txbxContent>
              </v:textbox>
            </v:shape>
            <v:shape id="_x0000_s1038" o:spid="_x0000_s1038" o:spt="202" type="#_x0000_t202" style="position:absolute;left:180;top:218;height:240;width:112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7" w:lineRule="exact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6E6E6E"/>
                        <w:sz w:val="24"/>
                      </w:rPr>
                      <w:t>Comments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  <w:bookmarkStart w:id="0" w:name="_GoBack"/>
      <w:bookmarkEnd w:id="0"/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hint="eastAsia" w:ascii="Times New Roman"/>
          <w:sz w:val="20"/>
        </w:rPr>
      </w:pPr>
    </w:p>
    <w:p>
      <w:pPr>
        <w:pStyle w:val="3"/>
        <w:ind w:left="300"/>
        <w:rPr>
          <w:rFonts w:hint="eastAsia" w:ascii="Times New Roman" w:eastAsia="宋体"/>
          <w:sz w:val="20"/>
          <w:lang w:eastAsia="zh-CN"/>
        </w:rPr>
      </w:pPr>
      <w:r>
        <w:rPr>
          <w:rFonts w:hint="eastAsia" w:ascii="Times New Roman" w:eastAsia="宋体"/>
          <w:sz w:val="20"/>
          <w:lang w:eastAsia="zh-CN"/>
        </w:rPr>
        <w:t>中文网站</w:t>
      </w:r>
    </w:p>
    <w:p>
      <w:pPr>
        <w:pStyle w:val="3"/>
        <w:ind w:left="300"/>
        <w:rPr>
          <w:rFonts w:hint="eastAsia" w:ascii="Times New Roman"/>
          <w:sz w:val="20"/>
        </w:rPr>
      </w:pPr>
      <w:r>
        <w:rPr>
          <w:rFonts w:hint="eastAsia" w:ascii="Times New Roman"/>
          <w:sz w:val="20"/>
        </w:rPr>
        <w:fldChar w:fldCharType="begin"/>
      </w:r>
      <w:r>
        <w:rPr>
          <w:rFonts w:hint="eastAsia" w:ascii="Times New Roman"/>
          <w:sz w:val="20"/>
        </w:rPr>
        <w:instrText xml:space="preserve"> HYPERLINK "https://www.robertshaw.com/zh-CN/ProductDetail.aspx?id=2147493621" </w:instrText>
      </w:r>
      <w:r>
        <w:rPr>
          <w:rFonts w:hint="eastAsia" w:ascii="Times New Roman"/>
          <w:sz w:val="20"/>
        </w:rPr>
        <w:fldChar w:fldCharType="separate"/>
      </w:r>
      <w:r>
        <w:rPr>
          <w:rStyle w:val="6"/>
          <w:rFonts w:hint="eastAsia" w:ascii="Times New Roman"/>
          <w:sz w:val="20"/>
        </w:rPr>
        <w:t>https://www.robertshaw.com/zh-CN/ProductDetail.aspx?id=2147493621</w:t>
      </w:r>
      <w:r>
        <w:rPr>
          <w:rFonts w:hint="eastAsia" w:ascii="Times New Roman"/>
          <w:sz w:val="20"/>
        </w:rPr>
        <w:fldChar w:fldCharType="end"/>
      </w:r>
    </w:p>
    <w:p>
      <w:pPr>
        <w:pStyle w:val="3"/>
        <w:ind w:left="300"/>
        <w:rPr>
          <w:rFonts w:hint="eastAsia" w:ascii="Times New Roman"/>
          <w:sz w:val="20"/>
        </w:rPr>
      </w:pPr>
    </w:p>
    <w:sectPr>
      <w:type w:val="continuous"/>
      <w:pgSz w:w="11900" w:h="16840"/>
      <w:pgMar w:top="1600" w:right="28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color w:val="313131"/>
        <w:w w:val="99"/>
        <w:sz w:val="20"/>
        <w:szCs w:val="20"/>
        <w:lang w:val="en-US" w:eastAsia="en-US" w:bidi="en-US"/>
      </w:rPr>
    </w:lvl>
    <w:lvl w:ilvl="1" w:tentative="0">
      <w:start w:val="0"/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02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72A27"/>
    <w:rsid w:val="563515F3"/>
    <w:rsid w:val="617E1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25"/>
      <w:ind w:left="47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" w:hAnsi="Arial" w:eastAsia="Arial" w:cs="Arial"/>
      <w:sz w:val="21"/>
      <w:szCs w:val="21"/>
      <w:lang w:val="en-US" w:eastAsia="en-US" w:bidi="en-US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79" w:hanging="361"/>
    </w:pPr>
    <w:rPr>
      <w:rFonts w:ascii="Arial" w:hAnsi="Arial" w:eastAsia="Arial" w:cs="Arial"/>
      <w:lang w:val="en-US" w:eastAsia="en-US" w:bidi="en-US"/>
    </w:rPr>
  </w:style>
  <w:style w:type="paragraph" w:customStyle="1" w:styleId="9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2019-09-01T10:01:00Z</dcterms:created>
  <dc:creator>Kushmeet.Bagga</dc:creator>
  <cp:lastModifiedBy>Administrator</cp:lastModifiedBy>
  <dcterms:modified xsi:type="dcterms:W3CDTF">2019-09-01T11:08:59Z</dcterms:modified>
  <dc:title>Microsoft Word - LP conversion Kit 1751-013.docx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2019-09-01T00:00:00Z</vt:filetime>
  </property>
  <property fmtid="{D5CDD505-2E9C-101B-9397-08002B2CF9AE}" pid="5" name="KSOProductBuildVer">
    <vt:lpwstr>2052-11.1.0.8984</vt:lpwstr>
  </property>
</Properties>
</file>