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1EF855">
      <w:pPr>
        <w:spacing w:before="0" w:after="0" w:line="800" w:lineRule="exact"/>
      </w:pPr>
    </w:p>
    <w:p w14:paraId="7C77E078">
      <w:pPr>
        <w:spacing w:before="0" w:after="0" w:line="800" w:lineRule="exact"/>
      </w:pPr>
    </w:p>
    <w:p w14:paraId="59B034B5">
      <w:pPr>
        <w:spacing w:before="0" w:after="0" w:line="800" w:lineRule="exact"/>
      </w:pPr>
    </w:p>
    <w:p w14:paraId="5F16D390">
      <w:pPr>
        <w:spacing w:before="0" w:after="0" w:line="800" w:lineRule="exact"/>
      </w:pPr>
    </w:p>
    <w:p w14:paraId="4E34B84D">
      <w:pPr>
        <w:spacing w:before="0" w:after="0" w:line="840" w:lineRule="exact"/>
        <w:jc w:val="center"/>
      </w:pPr>
      <w:r>
        <w:rPr>
          <w:rFonts w:ascii="Times New Roman" w:hAnsi="Times New Roman" w:eastAsia="汉仪大宋简"/>
          <w:sz w:val="52"/>
          <w:szCs w:val="52"/>
        </w:rPr>
        <w:t>防撞条</w:t>
      </w:r>
    </w:p>
    <w:p w14:paraId="0BD84860">
      <w:pPr>
        <w:spacing w:before="0" w:after="0" w:line="840" w:lineRule="exact"/>
        <w:jc w:val="center"/>
      </w:pPr>
      <w:r>
        <w:rPr>
          <w:rFonts w:ascii="Times New Roman" w:hAnsi="Times New Roman" w:eastAsia="汉仪大宋简"/>
          <w:sz w:val="52"/>
          <w:szCs w:val="52"/>
        </w:rPr>
        <w:t>技术规格书</w:t>
      </w:r>
    </w:p>
    <w:p w14:paraId="5A2A46F6">
      <w:pPr>
        <w:spacing w:before="0" w:after="0" w:line="600" w:lineRule="exact"/>
      </w:pPr>
    </w:p>
    <w:p w14:paraId="770C6D0D">
      <w:pPr>
        <w:spacing w:before="0" w:after="0" w:line="600" w:lineRule="exact"/>
      </w:pPr>
    </w:p>
    <w:p w14:paraId="52B400E1">
      <w:pPr>
        <w:spacing w:before="0" w:after="0" w:line="600" w:lineRule="exact"/>
      </w:pPr>
    </w:p>
    <w:p w14:paraId="6BE375EE">
      <w:pPr>
        <w:spacing w:before="0" w:after="0" w:line="560" w:lineRule="exact"/>
        <w:jc w:val="center"/>
      </w:pPr>
      <w:r>
        <w:rPr>
          <w:rFonts w:ascii="Times New Roman" w:hAnsi="Times New Roman" w:eastAsia="仿宋"/>
          <w:sz w:val="28"/>
          <w:szCs w:val="28"/>
        </w:rPr>
        <w:t>核海国际环保（上海）有限公司</w:t>
      </w:r>
    </w:p>
    <w:p w14:paraId="0956CE0B">
      <w:pPr>
        <w:spacing w:before="0" w:after="0" w:line="560" w:lineRule="exact"/>
        <w:jc w:val="center"/>
      </w:pPr>
      <w:r>
        <w:rPr>
          <w:rFonts w:ascii="Times New Roman" w:hAnsi="Times New Roman" w:eastAsia="仿宋"/>
          <w:sz w:val="28"/>
          <w:szCs w:val="28"/>
        </w:rPr>
        <w:t>2026年</w:t>
      </w:r>
      <w:r>
        <w:rPr>
          <w:rFonts w:hint="eastAsia" w:ascii="Times New Roman" w:hAnsi="Times New Roman" w:eastAsia="仿宋"/>
          <w:sz w:val="28"/>
          <w:szCs w:val="28"/>
          <w:lang w:val="en-US" w:eastAsia="zh-CN"/>
        </w:rPr>
        <w:t>11</w:t>
      </w:r>
      <w:bookmarkStart w:id="0" w:name="_GoBack"/>
      <w:bookmarkEnd w:id="0"/>
      <w:r>
        <w:rPr>
          <w:rFonts w:ascii="Times New Roman" w:hAnsi="Times New Roman" w:eastAsia="仿宋"/>
          <w:sz w:val="28"/>
          <w:szCs w:val="28"/>
        </w:rPr>
        <w:t>月</w:t>
      </w:r>
    </w:p>
    <w:p w14:paraId="6C086466">
      <w:r>
        <w:br w:type="page"/>
      </w:r>
    </w:p>
    <w:p w14:paraId="1A7EC530">
      <w:pPr>
        <w:spacing w:before="200" w:after="160" w:line="450" w:lineRule="auto"/>
        <w:jc w:val="center"/>
      </w:pPr>
      <w:r>
        <w:rPr>
          <w:rFonts w:ascii="Times New Roman" w:hAnsi="Times New Roman" w:eastAsia="黑体"/>
          <w:sz w:val="30"/>
          <w:szCs w:val="30"/>
        </w:rPr>
        <w:t>1</w:t>
      </w:r>
      <w:r>
        <w:rPr>
          <w:rFonts w:hint="eastAsia" w:ascii="Times New Roman" w:hAnsi="Times New Roman" w:eastAsia="黑体"/>
          <w:sz w:val="30"/>
          <w:szCs w:val="30"/>
          <w:lang w:val="en-US" w:eastAsia="zh-CN"/>
        </w:rPr>
        <w:t xml:space="preserve"> </w:t>
      </w:r>
      <w:r>
        <w:rPr>
          <w:rFonts w:ascii="Times New Roman" w:hAnsi="Times New Roman" w:eastAsia="黑体"/>
          <w:sz w:val="30"/>
          <w:szCs w:val="30"/>
        </w:rPr>
        <w:t>综述</w:t>
      </w:r>
    </w:p>
    <w:p w14:paraId="2BAD7A34">
      <w:pPr>
        <w:spacing w:before="80" w:after="40" w:line="360" w:lineRule="auto"/>
        <w:jc w:val="both"/>
      </w:pPr>
      <w:r>
        <w:rPr>
          <w:rFonts w:ascii="Times New Roman" w:hAnsi="Times New Roman" w:eastAsia="黑体"/>
          <w:sz w:val="24"/>
          <w:szCs w:val="24"/>
        </w:rPr>
        <w:t>1.1</w:t>
      </w:r>
      <w:r>
        <w:rPr>
          <w:rFonts w:hint="eastAsia" w:ascii="Times New Roman" w:hAnsi="Times New Roman" w:eastAsia="黑体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黑体"/>
          <w:sz w:val="24"/>
          <w:szCs w:val="24"/>
        </w:rPr>
        <w:t>名称</w:t>
      </w:r>
    </w:p>
    <w:p w14:paraId="7A5A9FDC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仿宋"/>
          <w:sz w:val="24"/>
          <w:szCs w:val="24"/>
        </w:rPr>
        <w:t>防撞条。</w:t>
      </w:r>
    </w:p>
    <w:p w14:paraId="2A8F9267">
      <w:pPr>
        <w:spacing w:before="80" w:after="40" w:line="360" w:lineRule="auto"/>
        <w:jc w:val="both"/>
      </w:pPr>
      <w:r>
        <w:rPr>
          <w:rFonts w:ascii="Times New Roman" w:hAnsi="Times New Roman" w:eastAsia="黑体"/>
          <w:sz w:val="24"/>
          <w:szCs w:val="24"/>
        </w:rPr>
        <w:t>1.2</w:t>
      </w:r>
      <w:r>
        <w:rPr>
          <w:rFonts w:hint="eastAsia" w:ascii="Times New Roman" w:hAnsi="Times New Roman" w:eastAsia="黑体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黑体"/>
          <w:sz w:val="24"/>
          <w:szCs w:val="24"/>
        </w:rPr>
        <w:t>用途</w:t>
      </w:r>
    </w:p>
    <w:p w14:paraId="463FB0AD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仿宋"/>
          <w:sz w:val="24"/>
          <w:szCs w:val="24"/>
        </w:rPr>
        <w:t>用于辐射控制区墙体、设备棱角等部位的防撞包覆</w:t>
      </w:r>
      <w:r>
        <w:rPr>
          <w:rFonts w:hint="eastAsia" w:ascii="Times New Roman" w:hAnsi="Times New Roman" w:eastAsia="仿宋"/>
          <w:sz w:val="24"/>
          <w:szCs w:val="24"/>
          <w:lang w:eastAsia="zh-CN"/>
        </w:rPr>
        <w:t>，防止人员作业过程中碰撞破损墙面，产生异物</w:t>
      </w:r>
      <w:r>
        <w:rPr>
          <w:rFonts w:ascii="Times New Roman" w:hAnsi="Times New Roman" w:eastAsia="仿宋"/>
          <w:sz w:val="24"/>
          <w:szCs w:val="24"/>
        </w:rPr>
        <w:t>。</w:t>
      </w:r>
    </w:p>
    <w:p w14:paraId="0A6AC97E">
      <w:pPr>
        <w:spacing w:before="200" w:after="160" w:line="450" w:lineRule="auto"/>
        <w:jc w:val="center"/>
        <w:rPr>
          <w:rFonts w:ascii="Times New Roman" w:hAnsi="Times New Roman" w:eastAsia="黑体"/>
          <w:sz w:val="30"/>
          <w:szCs w:val="30"/>
        </w:rPr>
      </w:pPr>
      <w:r>
        <w:rPr>
          <w:rFonts w:ascii="Times New Roman" w:hAnsi="Times New Roman" w:eastAsia="黑体"/>
          <w:sz w:val="30"/>
          <w:szCs w:val="30"/>
        </w:rPr>
        <w:t>2</w:t>
      </w:r>
      <w:r>
        <w:rPr>
          <w:rFonts w:hint="eastAsia" w:ascii="Times New Roman" w:hAnsi="Times New Roman" w:eastAsia="黑体"/>
          <w:sz w:val="30"/>
          <w:szCs w:val="30"/>
          <w:lang w:val="en-US" w:eastAsia="zh-CN"/>
        </w:rPr>
        <w:t xml:space="preserve"> </w:t>
      </w:r>
      <w:r>
        <w:rPr>
          <w:rFonts w:ascii="Times New Roman" w:hAnsi="Times New Roman" w:eastAsia="黑体"/>
          <w:sz w:val="30"/>
          <w:szCs w:val="30"/>
        </w:rPr>
        <w:t>加工依据</w:t>
      </w:r>
    </w:p>
    <w:p w14:paraId="5385148C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仿宋"/>
          <w:sz w:val="24"/>
          <w:szCs w:val="24"/>
        </w:rPr>
        <w:t>所依据的标准规范包括但不限于以下所列：GB/T8815-2017。产品必须满足国家审管部门的有关规定。</w:t>
      </w:r>
    </w:p>
    <w:p w14:paraId="5E62C85B">
      <w:pPr>
        <w:spacing w:before="200" w:after="160" w:line="450" w:lineRule="auto"/>
        <w:jc w:val="center"/>
      </w:pPr>
      <w:r>
        <w:rPr>
          <w:rFonts w:ascii="Times New Roman" w:hAnsi="Times New Roman" w:eastAsia="黑体"/>
          <w:sz w:val="30"/>
          <w:szCs w:val="30"/>
        </w:rPr>
        <w:t>3</w:t>
      </w:r>
      <w:r>
        <w:rPr>
          <w:rFonts w:hint="eastAsia" w:ascii="Times New Roman" w:hAnsi="Times New Roman" w:eastAsia="黑体"/>
          <w:sz w:val="30"/>
          <w:szCs w:val="30"/>
          <w:lang w:val="en-US" w:eastAsia="zh-CN"/>
        </w:rPr>
        <w:t xml:space="preserve"> </w:t>
      </w:r>
      <w:r>
        <w:rPr>
          <w:rFonts w:ascii="Times New Roman" w:hAnsi="Times New Roman" w:eastAsia="黑体"/>
          <w:sz w:val="30"/>
          <w:szCs w:val="30"/>
        </w:rPr>
        <w:t>相关要求</w:t>
      </w:r>
    </w:p>
    <w:p w14:paraId="70A7655A">
      <w:pPr>
        <w:spacing w:before="80" w:after="40" w:line="360" w:lineRule="auto"/>
        <w:jc w:val="both"/>
      </w:pPr>
      <w:r>
        <w:rPr>
          <w:rFonts w:ascii="Times New Roman" w:hAnsi="Times New Roman" w:eastAsia="黑体"/>
          <w:sz w:val="24"/>
          <w:szCs w:val="24"/>
        </w:rPr>
        <w:t>3.1</w:t>
      </w:r>
      <w:r>
        <w:rPr>
          <w:rFonts w:hint="eastAsia" w:ascii="Times New Roman" w:hAnsi="Times New Roman" w:eastAsia="黑体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黑体"/>
          <w:sz w:val="24"/>
          <w:szCs w:val="24"/>
        </w:rPr>
        <w:t>总体要求</w:t>
      </w:r>
    </w:p>
    <w:p w14:paraId="5BECAFC9">
      <w:pPr>
        <w:spacing w:before="0" w:after="0" w:line="360" w:lineRule="auto"/>
        <w:ind w:firstLine="480"/>
        <w:jc w:val="both"/>
        <w:rPr>
          <w:rFonts w:hint="default" w:eastAsia="仿宋"/>
          <w:lang w:val="en-US" w:eastAsia="zh-CN"/>
        </w:rPr>
      </w:pPr>
      <w:r>
        <w:rPr>
          <w:rFonts w:ascii="Times New Roman" w:hAnsi="Times New Roman" w:eastAsia="仿宋"/>
          <w:sz w:val="24"/>
          <w:szCs w:val="24"/>
        </w:rPr>
        <w:t>产品加工制造满足设计</w:t>
      </w:r>
      <w:r>
        <w:rPr>
          <w:rFonts w:hint="eastAsia" w:ascii="Times New Roman" w:hAnsi="Times New Roman" w:eastAsia="仿宋"/>
          <w:sz w:val="24"/>
          <w:szCs w:val="24"/>
          <w:lang w:val="en-US" w:eastAsia="zh-CN"/>
        </w:rPr>
        <w:t>以下</w:t>
      </w:r>
      <w:r>
        <w:rPr>
          <w:rFonts w:ascii="Times New Roman" w:hAnsi="Times New Roman" w:eastAsia="仿宋"/>
          <w:sz w:val="24"/>
          <w:szCs w:val="24"/>
        </w:rPr>
        <w:t>规格尺寸、材料</w:t>
      </w:r>
      <w:r>
        <w:rPr>
          <w:rFonts w:hint="eastAsia" w:ascii="Times New Roman" w:hAnsi="Times New Roman" w:eastAsia="仿宋"/>
          <w:sz w:val="24"/>
          <w:szCs w:val="24"/>
          <w:lang w:val="en-US" w:eastAsia="zh-CN"/>
        </w:rPr>
        <w:t>及性能</w:t>
      </w:r>
      <w:r>
        <w:rPr>
          <w:rFonts w:ascii="Times New Roman" w:hAnsi="Times New Roman" w:eastAsia="仿宋"/>
          <w:sz w:val="24"/>
          <w:szCs w:val="24"/>
        </w:rPr>
        <w:t>，采购数量</w:t>
      </w:r>
      <w:r>
        <w:rPr>
          <w:rFonts w:hint="eastAsia" w:ascii="Times New Roman" w:hAnsi="Times New Roman" w:eastAsia="仿宋"/>
          <w:sz w:val="24"/>
          <w:szCs w:val="24"/>
          <w:lang w:eastAsia="zh-CN"/>
        </w:rPr>
        <w:t>：</w:t>
      </w:r>
      <w:r>
        <w:rPr>
          <w:rFonts w:hint="eastAsia" w:ascii="Times New Roman" w:hAnsi="Times New Roman" w:eastAsia="仿宋"/>
          <w:sz w:val="24"/>
          <w:szCs w:val="24"/>
          <w:lang w:val="en-US" w:eastAsia="zh-CN"/>
        </w:rPr>
        <w:t>200条。</w:t>
      </w:r>
    </w:p>
    <w:p w14:paraId="7034EF06">
      <w:pPr>
        <w:spacing w:before="80" w:after="40" w:line="360" w:lineRule="auto"/>
        <w:jc w:val="both"/>
      </w:pPr>
      <w:r>
        <w:rPr>
          <w:rFonts w:ascii="Times New Roman" w:hAnsi="Times New Roman" w:eastAsia="黑体"/>
          <w:sz w:val="24"/>
          <w:szCs w:val="24"/>
        </w:rPr>
        <w:t>3.2</w:t>
      </w:r>
      <w:r>
        <w:rPr>
          <w:rFonts w:hint="eastAsia" w:ascii="Times New Roman" w:hAnsi="Times New Roman" w:eastAsia="黑体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黑体"/>
          <w:sz w:val="24"/>
          <w:szCs w:val="24"/>
        </w:rPr>
        <w:t>结构要求</w:t>
      </w:r>
    </w:p>
    <w:p w14:paraId="0ECE8AE6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仿宋"/>
          <w:sz w:val="24"/>
          <w:szCs w:val="24"/>
        </w:rPr>
        <w:t>（1）L型直角结构，4cm（翼宽）×4cm（翼宽）×1.5m（长度），厚度≥3mm，米白色、色泽均匀，端部倒圆角处理</w:t>
      </w:r>
      <w:r>
        <w:rPr>
          <w:rFonts w:hint="eastAsia" w:ascii="Times New Roman" w:hAnsi="Times New Roman" w:eastAsia="仿宋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仿宋"/>
          <w:sz w:val="24"/>
          <w:szCs w:val="24"/>
          <w:lang w:val="en-US" w:eastAsia="zh-CN"/>
        </w:rPr>
        <w:t>≥1mm</w:t>
      </w:r>
      <w:r>
        <w:rPr>
          <w:rFonts w:hint="eastAsia" w:ascii="Times New Roman" w:hAnsi="Times New Roman" w:eastAsia="仿宋"/>
          <w:sz w:val="24"/>
          <w:szCs w:val="24"/>
          <w:lang w:eastAsia="zh-CN"/>
        </w:rPr>
        <w:t>）</w:t>
      </w:r>
      <w:r>
        <w:rPr>
          <w:rFonts w:ascii="Times New Roman" w:hAnsi="Times New Roman" w:eastAsia="仿宋"/>
          <w:sz w:val="24"/>
          <w:szCs w:val="24"/>
        </w:rPr>
        <w:t>。</w:t>
      </w:r>
    </w:p>
    <w:p w14:paraId="0F5B9AB6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仿宋"/>
          <w:sz w:val="24"/>
          <w:szCs w:val="24"/>
        </w:rPr>
        <w:t>（2）全新PVC（聚氯乙烯）材质、无回收料，符合GB/T8815-2017要求。</w:t>
      </w:r>
    </w:p>
    <w:p w14:paraId="43096D40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仿宋"/>
          <w:sz w:val="24"/>
          <w:szCs w:val="24"/>
        </w:rPr>
        <w:t>（3）邵氏硬度75±5 Shore A，拉伸强度≥15MPa，断裂伸长率≥200%，耐温-20℃～60℃。</w:t>
      </w:r>
    </w:p>
    <w:p w14:paraId="5BD1774E">
      <w:pPr>
        <w:spacing w:before="0" w:after="0" w:line="360" w:lineRule="auto"/>
        <w:ind w:firstLine="480"/>
        <w:jc w:val="both"/>
        <w:rPr>
          <w:rFonts w:hint="eastAsia" w:ascii="Times New Roman" w:hAnsi="Times New Roman" w:eastAsia="仿宋"/>
          <w:sz w:val="24"/>
          <w:szCs w:val="24"/>
          <w:lang w:eastAsia="zh-CN"/>
        </w:rPr>
      </w:pPr>
      <w:r>
        <w:rPr>
          <w:rFonts w:ascii="Times New Roman" w:hAnsi="Times New Roman" w:eastAsia="仿宋"/>
          <w:sz w:val="24"/>
          <w:szCs w:val="24"/>
        </w:rPr>
        <w:t>（4）承重专用强力背胶，初粘力≥15N/25mm、持粘力≥72h，耐水防潮</w:t>
      </w:r>
      <w:r>
        <w:rPr>
          <w:rFonts w:hint="eastAsia" w:ascii="Times New Roman" w:hAnsi="Times New Roman" w:eastAsia="仿宋"/>
          <w:sz w:val="24"/>
          <w:szCs w:val="24"/>
          <w:lang w:eastAsia="zh-CN"/>
        </w:rPr>
        <w:t>。</w:t>
      </w:r>
    </w:p>
    <w:p w14:paraId="6B81B211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仿宋"/>
          <w:sz w:val="24"/>
          <w:szCs w:val="24"/>
        </w:rPr>
        <w:t>（5）表面防刮耐磨、</w:t>
      </w:r>
      <w:r>
        <w:rPr>
          <w:rFonts w:hint="eastAsia" w:ascii="Times New Roman" w:hAnsi="Times New Roman" w:eastAsia="仿宋"/>
          <w:sz w:val="24"/>
          <w:szCs w:val="24"/>
        </w:rPr>
        <w:t>无指纹纳米抗污涂层，易清洁、无积污死角</w:t>
      </w:r>
      <w:r>
        <w:rPr>
          <w:rFonts w:ascii="Times New Roman" w:hAnsi="Times New Roman" w:eastAsia="仿宋"/>
          <w:sz w:val="24"/>
          <w:szCs w:val="24"/>
        </w:rPr>
        <w:t>。</w:t>
      </w:r>
    </w:p>
    <w:p w14:paraId="24AA1D29">
      <w:pPr>
        <w:spacing w:before="0" w:after="0" w:line="360" w:lineRule="auto"/>
        <w:ind w:firstLine="480"/>
        <w:jc w:val="both"/>
      </w:pPr>
      <w:r>
        <w:rPr>
          <w:rFonts w:hint="eastAsia" w:ascii="Times New Roman" w:hAnsi="Times New Roman" w:eastAsia="仿宋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仿宋"/>
          <w:sz w:val="24"/>
          <w:szCs w:val="24"/>
          <w:lang w:val="en-US" w:eastAsia="zh-CN"/>
        </w:rPr>
        <w:t>6</w:t>
      </w:r>
      <w:r>
        <w:rPr>
          <w:rFonts w:hint="eastAsia" w:ascii="Times New Roman" w:hAnsi="Times New Roman" w:eastAsia="仿宋"/>
          <w:sz w:val="24"/>
          <w:szCs w:val="24"/>
          <w:lang w:eastAsia="zh-CN"/>
        </w:rPr>
        <w:t>）</w:t>
      </w:r>
      <w:r>
        <w:rPr>
          <w:rFonts w:ascii="Times New Roman" w:hAnsi="Times New Roman" w:eastAsia="仿宋"/>
          <w:sz w:val="24"/>
          <w:szCs w:val="24"/>
        </w:rPr>
        <w:t>阻燃V-0级，RoHS环保认证，无异味、无毒</w:t>
      </w:r>
      <w:r>
        <w:rPr>
          <w:rFonts w:hint="eastAsia" w:ascii="Times New Roman" w:hAnsi="Times New Roman" w:eastAsia="仿宋"/>
          <w:sz w:val="24"/>
          <w:szCs w:val="24"/>
        </w:rPr>
        <w:t>，无异物产生风险</w:t>
      </w:r>
      <w:r>
        <w:rPr>
          <w:rFonts w:ascii="Times New Roman" w:hAnsi="Times New Roman" w:eastAsia="仿宋"/>
          <w:sz w:val="24"/>
          <w:szCs w:val="24"/>
        </w:rPr>
        <w:t>。</w:t>
      </w:r>
    </w:p>
    <w:p w14:paraId="389158C1">
      <w:pPr>
        <w:spacing w:before="80" w:after="40" w:line="360" w:lineRule="auto"/>
        <w:jc w:val="both"/>
      </w:pPr>
      <w:r>
        <w:rPr>
          <w:rFonts w:ascii="Times New Roman" w:hAnsi="Times New Roman" w:eastAsia="黑体"/>
          <w:sz w:val="24"/>
          <w:szCs w:val="24"/>
        </w:rPr>
        <w:t>3.3</w:t>
      </w:r>
      <w:r>
        <w:rPr>
          <w:rFonts w:hint="eastAsia" w:ascii="Times New Roman" w:hAnsi="Times New Roman" w:eastAsia="黑体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黑体"/>
          <w:sz w:val="24"/>
          <w:szCs w:val="24"/>
        </w:rPr>
        <w:t>服务要求</w:t>
      </w:r>
    </w:p>
    <w:p w14:paraId="6A4D1569">
      <w:pPr>
        <w:spacing w:before="0" w:after="0" w:line="360" w:lineRule="auto"/>
        <w:ind w:firstLine="480"/>
        <w:jc w:val="both"/>
        <w:rPr>
          <w:rFonts w:ascii="Times New Roman" w:hAnsi="Times New Roman" w:eastAsia="仿宋"/>
          <w:sz w:val="24"/>
          <w:szCs w:val="24"/>
        </w:rPr>
      </w:pPr>
      <w:r>
        <w:rPr>
          <w:rFonts w:ascii="Times New Roman" w:hAnsi="Times New Roman" w:eastAsia="仿宋"/>
          <w:sz w:val="24"/>
          <w:szCs w:val="24"/>
        </w:rPr>
        <w:t>（1）按本规格书完成产品的制造与供货，编制加工制造方案、质量计划与进度计划，准备合格的原材料。</w:t>
      </w:r>
    </w:p>
    <w:p w14:paraId="0B12B31E">
      <w:pPr>
        <w:spacing w:before="0" w:after="0" w:line="360" w:lineRule="auto"/>
        <w:ind w:firstLine="480"/>
        <w:jc w:val="both"/>
        <w:rPr>
          <w:rFonts w:ascii="Times New Roman" w:hAnsi="Times New Roman" w:eastAsia="仿宋"/>
          <w:sz w:val="24"/>
          <w:szCs w:val="24"/>
        </w:rPr>
      </w:pPr>
      <w:r>
        <w:rPr>
          <w:rFonts w:ascii="Times New Roman" w:hAnsi="Times New Roman" w:eastAsia="仿宋"/>
          <w:sz w:val="24"/>
          <w:szCs w:val="24"/>
        </w:rPr>
        <w:t>（2）完成出厂检验及本规格书规定的试验项目，并按需要提供第三方检验机构出具的检定</w:t>
      </w:r>
      <w:r>
        <w:rPr>
          <w:rFonts w:hint="eastAsia" w:ascii="Times New Roman" w:hAnsi="Times New Roman" w:eastAsia="仿宋"/>
          <w:sz w:val="24"/>
          <w:szCs w:val="24"/>
        </w:rPr>
        <w:t>/校准/检测</w:t>
      </w:r>
      <w:r>
        <w:rPr>
          <w:rFonts w:ascii="Times New Roman" w:hAnsi="Times New Roman" w:eastAsia="仿宋"/>
          <w:sz w:val="24"/>
          <w:szCs w:val="24"/>
        </w:rPr>
        <w:t>证书。</w:t>
      </w:r>
    </w:p>
    <w:p w14:paraId="6C97F519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仿宋"/>
          <w:sz w:val="24"/>
          <w:szCs w:val="24"/>
        </w:rPr>
        <w:t>（3）按合同约定完成包装、运输，交付至华能海南昌江核电现场并卸货，交付时限为合同签订生效后</w:t>
      </w:r>
      <w:r>
        <w:rPr>
          <w:rFonts w:hint="eastAsia" w:ascii="Times New Roman" w:hAnsi="Times New Roman" w:eastAsia="仿宋"/>
          <w:sz w:val="24"/>
          <w:szCs w:val="24"/>
          <w:lang w:val="en-US" w:eastAsia="zh-CN"/>
        </w:rPr>
        <w:t>3</w:t>
      </w:r>
      <w:r>
        <w:rPr>
          <w:rFonts w:ascii="Times New Roman" w:hAnsi="Times New Roman" w:eastAsia="仿宋"/>
          <w:sz w:val="24"/>
          <w:szCs w:val="24"/>
        </w:rPr>
        <w:t>0日内。</w:t>
      </w:r>
    </w:p>
    <w:p w14:paraId="7B0EEDC4">
      <w:pPr>
        <w:spacing w:before="80" w:after="40" w:line="360" w:lineRule="auto"/>
        <w:jc w:val="both"/>
      </w:pPr>
      <w:r>
        <w:rPr>
          <w:rFonts w:ascii="Times New Roman" w:hAnsi="Times New Roman" w:eastAsia="黑体"/>
          <w:sz w:val="24"/>
          <w:szCs w:val="24"/>
        </w:rPr>
        <w:t>3.4</w:t>
      </w:r>
      <w:r>
        <w:rPr>
          <w:rFonts w:hint="eastAsia" w:ascii="Times New Roman" w:hAnsi="Times New Roman" w:eastAsia="黑体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黑体"/>
          <w:sz w:val="24"/>
          <w:szCs w:val="24"/>
        </w:rPr>
        <w:t>制造、验收要求</w:t>
      </w:r>
    </w:p>
    <w:p w14:paraId="43BC10A2">
      <w:pPr>
        <w:spacing w:before="0" w:after="0" w:line="360" w:lineRule="auto"/>
        <w:ind w:firstLine="480"/>
        <w:jc w:val="both"/>
        <w:rPr>
          <w:rFonts w:ascii="Times New Roman" w:hAnsi="Times New Roman" w:eastAsia="仿宋"/>
          <w:sz w:val="24"/>
          <w:szCs w:val="24"/>
        </w:rPr>
      </w:pPr>
      <w:r>
        <w:rPr>
          <w:rFonts w:ascii="Times New Roman" w:hAnsi="Times New Roman" w:eastAsia="仿宋"/>
          <w:sz w:val="24"/>
          <w:szCs w:val="24"/>
        </w:rPr>
        <w:t>（1）产品交付前，采购方派专人到制造现场或到货现场开展验收，以双方认可的制造过程文件、检验/试验报告、产品技术文件作为验收证明。</w:t>
      </w:r>
    </w:p>
    <w:p w14:paraId="58936CA2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仿宋"/>
          <w:sz w:val="24"/>
          <w:szCs w:val="24"/>
        </w:rPr>
        <w:t>（2）验收合格后按采购方要求运输至指定地点并卸货；随货提供送货清单、合格证、使用说明书及储存、寿期说明。</w:t>
      </w:r>
    </w:p>
    <w:p w14:paraId="2C409D49">
      <w:pPr>
        <w:spacing w:before="80" w:after="40" w:line="360" w:lineRule="auto"/>
        <w:jc w:val="both"/>
      </w:pPr>
      <w:r>
        <w:rPr>
          <w:rFonts w:ascii="Times New Roman" w:hAnsi="Times New Roman" w:eastAsia="黑体"/>
          <w:sz w:val="24"/>
          <w:szCs w:val="24"/>
        </w:rPr>
        <w:t>3.5</w:t>
      </w:r>
      <w:r>
        <w:rPr>
          <w:rFonts w:hint="eastAsia" w:ascii="Times New Roman" w:hAnsi="Times New Roman" w:eastAsia="黑体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黑体"/>
          <w:sz w:val="24"/>
          <w:szCs w:val="24"/>
        </w:rPr>
        <w:t>其它要求</w:t>
      </w:r>
    </w:p>
    <w:p w14:paraId="009C0215">
      <w:pPr>
        <w:spacing w:before="0" w:after="0" w:line="360" w:lineRule="auto"/>
        <w:ind w:firstLine="480"/>
        <w:jc w:val="both"/>
        <w:rPr>
          <w:rFonts w:ascii="Times New Roman" w:hAnsi="Times New Roman" w:eastAsia="仿宋"/>
          <w:sz w:val="24"/>
          <w:szCs w:val="24"/>
        </w:rPr>
      </w:pPr>
      <w:r>
        <w:rPr>
          <w:rFonts w:ascii="Times New Roman" w:hAnsi="Times New Roman" w:eastAsia="仿宋"/>
          <w:sz w:val="24"/>
          <w:szCs w:val="24"/>
        </w:rPr>
        <w:t>（1）本规格书未对一切技术细节做出规定，也未充分引述有关标准和规范的条文，供货方除满足本规格书要求外，还应满足国家及行业现行标准和相关规定。</w:t>
      </w:r>
    </w:p>
    <w:p w14:paraId="2E20B10D">
      <w:pPr>
        <w:spacing w:before="0" w:after="0" w:line="360" w:lineRule="auto"/>
        <w:ind w:firstLine="480"/>
        <w:jc w:val="both"/>
        <w:rPr>
          <w:rFonts w:ascii="Times New Roman" w:hAnsi="Times New Roman" w:eastAsia="仿宋"/>
          <w:sz w:val="24"/>
          <w:szCs w:val="24"/>
        </w:rPr>
      </w:pPr>
      <w:r>
        <w:rPr>
          <w:rFonts w:ascii="Times New Roman" w:hAnsi="Times New Roman" w:eastAsia="仿宋"/>
          <w:sz w:val="24"/>
          <w:szCs w:val="24"/>
        </w:rPr>
        <w:t>（2）供货方对本规格书各项要求的执行全面负责；在执行过程中做出任何改变之前，均须书面通知采购方，取得同意后方可实施。</w:t>
      </w:r>
    </w:p>
    <w:p w14:paraId="2217D04E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仿宋"/>
          <w:sz w:val="24"/>
          <w:szCs w:val="24"/>
        </w:rPr>
        <w:t>（3）质保期自现场开箱检验合格之日起3年，质保期内因设计、制造缺陷引起的故障由供货方免费维修、更换或退货。</w:t>
      </w:r>
    </w:p>
    <w:sectPr>
      <w:pgSz w:w="11906" w:h="16838"/>
      <w:pgMar w:top="1247" w:right="1474" w:bottom="1247" w:left="147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汉仪大宋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5B6516"/>
    <w:rsid w:val="0CF1383E"/>
    <w:rsid w:val="0E5B6516"/>
    <w:rsid w:val="11845E93"/>
    <w:rsid w:val="2EDA4EED"/>
    <w:rsid w:val="387437AC"/>
    <w:rsid w:val="45244351"/>
    <w:rsid w:val="50CD1D3A"/>
    <w:rsid w:val="5192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1052</Words>
  <Characters>1170</Characters>
  <Lines>0</Lines>
  <Paragraphs>0</Paragraphs>
  <TotalTime>3</TotalTime>
  <ScaleCrop>false</ScaleCrop>
  <LinksUpToDate>false</LinksUpToDate>
  <CharactersWithSpaces>1196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2026-10-09T03:19:00Z</dcterms:created>
  <dc:creator> </dc:creator>
  <cp:lastModifiedBy> </cp:lastModifiedBy>
  <dcterms:modified xsi:type="dcterms:W3CDTF">2026-11-03T08:37:33Z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BBCC4F1020DE496DA60CAC78F2E1BFAD_13</vt:lpwstr>
  </property>
  <property fmtid="{D5CDD505-2E9C-101B-9397-08002B2CF9AE}" pid="4" name="KSOTemplateDocerSaveRecord">
    <vt:lpwstr>eyJoZGlkIjoiMjlhNDRiZDczNDViZDYxM2Q0YmIxMDFkOGE2ZjI2OWQiLCJ1c2VySWQiOiIyNDI4NzYwODMifQ==</vt:lpwstr>
  </property>
</Properties>
</file>