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Times New Roman" w:hAnsi="Times New Roman" w:eastAsia="仿宋" w:cs="Times New Roman"/>
          <w:sz w:val="24"/>
          <w:szCs w:val="24"/>
        </w:rPr>
      </w:pPr>
      <w:r>
        <w:rPr>
          <w:rFonts w:ascii="Times New Roman" w:hAnsi="Times New Roman" w:eastAsia="仿宋" w:cs="Times New Roman"/>
          <w:sz w:val="24"/>
          <w:szCs w:val="24"/>
        </w:rPr>
        <w:t xml:space="preserve"> Technology Qualification &amp; Requirement</w:t>
      </w:r>
    </w:p>
    <w:p>
      <w:pPr>
        <w:spacing w:line="360" w:lineRule="auto"/>
        <w:jc w:val="both"/>
        <w:rPr>
          <w:rFonts w:ascii="Times New Roman" w:hAnsi="Times New Roman" w:eastAsia="仿宋" w:cs="Times New Roman"/>
          <w:sz w:val="24"/>
          <w:szCs w:val="24"/>
        </w:rPr>
      </w:pPr>
      <w:r>
        <w:rPr>
          <w:rFonts w:ascii="Times New Roman" w:hAnsi="Times New Roman" w:eastAsia="仿宋" w:cs="Times New Roman"/>
          <w:sz w:val="24"/>
          <w:szCs w:val="24"/>
        </w:rPr>
        <w:t>1   specification for Cement Packing bags：</w:t>
      </w:r>
      <w:bookmarkStart w:id="1" w:name="_GoBack"/>
      <w:bookmarkEnd w:id="1"/>
    </w:p>
    <w:tbl>
      <w:tblPr>
        <w:tblStyle w:val="5"/>
        <w:tblW w:w="10232" w:type="dxa"/>
        <w:tblInd w:w="136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11"/>
        <w:gridCol w:w="1821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6" w:hRule="atLeast"/>
        </w:trPr>
        <w:tc>
          <w:tcPr>
            <w:tcW w:w="8411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5"/>
              <w:tblpPr w:leftFromText="180" w:rightFromText="180" w:vertAnchor="text" w:horzAnchor="page" w:tblpX="91" w:tblpY="61"/>
              <w:tblOverlap w:val="never"/>
              <w:tblW w:w="8236" w:type="dxa"/>
              <w:tblInd w:w="0" w:type="dxa"/>
              <w:tblBorders>
                <w:top w:val="single" w:color="000000" w:sz="12" w:space="0"/>
                <w:left w:val="single" w:color="000000" w:sz="12" w:space="0"/>
                <w:bottom w:val="single" w:color="000000" w:sz="12" w:space="0"/>
                <w:right w:val="single" w:color="000000" w:sz="12" w:space="0"/>
                <w:insideH w:val="single" w:color="000000" w:sz="12" w:space="0"/>
                <w:insideV w:val="single" w:color="000000" w:sz="12" w:space="0"/>
              </w:tblBorders>
              <w:tblLayout w:type="fixed"/>
              <w:tblCellMar>
                <w:top w:w="72" w:type="dxa"/>
                <w:left w:w="47" w:type="dxa"/>
                <w:bottom w:w="17" w:type="dxa"/>
                <w:right w:w="18" w:type="dxa"/>
              </w:tblCellMar>
            </w:tblPr>
            <w:tblGrid>
              <w:gridCol w:w="3571"/>
              <w:gridCol w:w="4665"/>
            </w:tblGrid>
            <w:tr>
              <w:tblPrEx>
                <w:tblBorders>
                  <w:top w:val="single" w:color="000000" w:sz="12" w:space="0"/>
                  <w:left w:val="single" w:color="000000" w:sz="12" w:space="0"/>
                  <w:bottom w:val="single" w:color="000000" w:sz="12" w:space="0"/>
                  <w:right w:val="single" w:color="000000" w:sz="12" w:space="0"/>
                  <w:insideH w:val="single" w:color="000000" w:sz="12" w:space="0"/>
                  <w:insideV w:val="single" w:color="000000" w:sz="12" w:space="0"/>
                </w:tblBorders>
                <w:tblLayout w:type="fixed"/>
                <w:tblCellMar>
                  <w:top w:w="72" w:type="dxa"/>
                  <w:left w:w="47" w:type="dxa"/>
                  <w:bottom w:w="17" w:type="dxa"/>
                  <w:right w:w="18" w:type="dxa"/>
                </w:tblCellMar>
              </w:tblPrEx>
              <w:trPr>
                <w:trHeight w:val="491" w:hRule="atLeast"/>
              </w:trPr>
              <w:tc>
                <w:tcPr>
                  <w:tcW w:w="3571" w:type="dxa"/>
                  <w:vAlign w:val="center"/>
                </w:tcPr>
                <w:p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content</w:t>
                  </w:r>
                </w:p>
              </w:tc>
              <w:tc>
                <w:tcPr>
                  <w:tcW w:w="4665" w:type="dxa"/>
                  <w:vAlign w:val="center"/>
                </w:tcPr>
                <w:p>
                  <w:pPr>
                    <w:spacing w:line="360" w:lineRule="auto"/>
                    <w:ind w:right="2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Calibri" w:cs="Times New Roman"/>
                      <w:sz w:val="24"/>
                      <w:szCs w:val="24"/>
                    </w:rPr>
                    <w:t>Sack features</w:t>
                  </w:r>
                </w:p>
              </w:tc>
            </w:tr>
            <w:tr>
              <w:tblPrEx>
                <w:tblBorders>
                  <w:top w:val="single" w:color="000000" w:sz="12" w:space="0"/>
                  <w:left w:val="single" w:color="000000" w:sz="12" w:space="0"/>
                  <w:bottom w:val="single" w:color="000000" w:sz="12" w:space="0"/>
                  <w:right w:val="single" w:color="000000" w:sz="12" w:space="0"/>
                  <w:insideH w:val="single" w:color="000000" w:sz="12" w:space="0"/>
                  <w:insideV w:val="single" w:color="000000" w:sz="12" w:space="0"/>
                </w:tblBorders>
                <w:tblLayout w:type="fixed"/>
                <w:tblCellMar>
                  <w:top w:w="72" w:type="dxa"/>
                  <w:left w:w="47" w:type="dxa"/>
                  <w:bottom w:w="17" w:type="dxa"/>
                  <w:right w:w="18" w:type="dxa"/>
                </w:tblCellMar>
              </w:tblPrEx>
              <w:trPr>
                <w:trHeight w:val="507" w:hRule="atLeast"/>
              </w:trPr>
              <w:tc>
                <w:tcPr>
                  <w:tcW w:w="3571" w:type="dxa"/>
                  <w:vAlign w:val="center"/>
                </w:tcPr>
                <w:p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Filled sack weight (kg)</w:t>
                  </w:r>
                </w:p>
              </w:tc>
              <w:tc>
                <w:tcPr>
                  <w:tcW w:w="4665" w:type="dxa"/>
                  <w:vAlign w:val="center"/>
                </w:tcPr>
                <w:p>
                  <w:pPr>
                    <w:spacing w:line="360" w:lineRule="auto"/>
                    <w:ind w:right="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50</w:t>
                  </w:r>
                </w:p>
              </w:tc>
            </w:tr>
            <w:tr>
              <w:tblPrEx>
                <w:tblBorders>
                  <w:top w:val="single" w:color="000000" w:sz="12" w:space="0"/>
                  <w:left w:val="single" w:color="000000" w:sz="12" w:space="0"/>
                  <w:bottom w:val="single" w:color="000000" w:sz="12" w:space="0"/>
                  <w:right w:val="single" w:color="000000" w:sz="12" w:space="0"/>
                  <w:insideH w:val="single" w:color="000000" w:sz="12" w:space="0"/>
                  <w:insideV w:val="single" w:color="000000" w:sz="12" w:space="0"/>
                </w:tblBorders>
                <w:tblLayout w:type="fixed"/>
                <w:tblCellMar>
                  <w:top w:w="72" w:type="dxa"/>
                  <w:left w:w="47" w:type="dxa"/>
                  <w:bottom w:w="17" w:type="dxa"/>
                  <w:right w:w="18" w:type="dxa"/>
                </w:tblCellMar>
              </w:tblPrEx>
              <w:trPr>
                <w:trHeight w:val="513" w:hRule="atLeast"/>
              </w:trPr>
              <w:tc>
                <w:tcPr>
                  <w:tcW w:w="3571" w:type="dxa"/>
                  <w:vAlign w:val="center"/>
                </w:tcPr>
                <w:p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Material packed</w:t>
                  </w:r>
                </w:p>
              </w:tc>
              <w:tc>
                <w:tcPr>
                  <w:tcW w:w="4665" w:type="dxa"/>
                  <w:vAlign w:val="center"/>
                </w:tcPr>
                <w:p>
                  <w:pPr>
                    <w:spacing w:line="360" w:lineRule="auto"/>
                    <w:ind w:right="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PORTLAND CEMENT</w:t>
                  </w:r>
                </w:p>
              </w:tc>
            </w:tr>
            <w:tr>
              <w:tblPrEx>
                <w:tblBorders>
                  <w:top w:val="single" w:color="000000" w:sz="12" w:space="0"/>
                  <w:left w:val="single" w:color="000000" w:sz="12" w:space="0"/>
                  <w:bottom w:val="single" w:color="000000" w:sz="12" w:space="0"/>
                  <w:right w:val="single" w:color="000000" w:sz="12" w:space="0"/>
                  <w:insideH w:val="single" w:color="000000" w:sz="12" w:space="0"/>
                  <w:insideV w:val="single" w:color="000000" w:sz="12" w:space="0"/>
                </w:tblBorders>
                <w:tblLayout w:type="fixed"/>
                <w:tblCellMar>
                  <w:top w:w="72" w:type="dxa"/>
                  <w:left w:w="47" w:type="dxa"/>
                  <w:bottom w:w="17" w:type="dxa"/>
                  <w:right w:w="18" w:type="dxa"/>
                </w:tblCellMar>
              </w:tblPrEx>
              <w:trPr>
                <w:trHeight w:val="433" w:hRule="atLeast"/>
              </w:trPr>
              <w:tc>
                <w:tcPr>
                  <w:tcW w:w="3571" w:type="dxa"/>
                  <w:vAlign w:val="center"/>
                </w:tcPr>
                <w:p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A   Length (mm)</w:t>
                  </w:r>
                </w:p>
              </w:tc>
              <w:tc>
                <w:tcPr>
                  <w:tcW w:w="4665" w:type="dxa"/>
                  <w:vAlign w:val="center"/>
                </w:tcPr>
                <w:p>
                  <w:pPr>
                    <w:spacing w:line="360" w:lineRule="auto"/>
                    <w:ind w:right="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615</w:t>
                  </w:r>
                  <m:oMath>
                    <m:r>
                      <m:rPr>
                        <m:sty m:val="p"/>
                      </m:r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m:t>±</m:t>
                    </m:r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0.5</m:t>
                    </m:r>
                  </m:oMath>
                </w:p>
              </w:tc>
            </w:tr>
            <w:tr>
              <w:tblPrEx>
                <w:tblBorders>
                  <w:top w:val="single" w:color="000000" w:sz="12" w:space="0"/>
                  <w:left w:val="single" w:color="000000" w:sz="12" w:space="0"/>
                  <w:bottom w:val="single" w:color="000000" w:sz="12" w:space="0"/>
                  <w:right w:val="single" w:color="000000" w:sz="12" w:space="0"/>
                  <w:insideH w:val="single" w:color="000000" w:sz="12" w:space="0"/>
                  <w:insideV w:val="single" w:color="000000" w:sz="12" w:space="0"/>
                </w:tblBorders>
                <w:tblLayout w:type="fixed"/>
                <w:tblCellMar>
                  <w:top w:w="72" w:type="dxa"/>
                  <w:left w:w="47" w:type="dxa"/>
                  <w:bottom w:w="17" w:type="dxa"/>
                  <w:right w:w="18" w:type="dxa"/>
                </w:tblCellMar>
              </w:tblPrEx>
              <w:trPr>
                <w:trHeight w:val="419" w:hRule="atLeast"/>
              </w:trPr>
              <w:tc>
                <w:tcPr>
                  <w:tcW w:w="3571" w:type="dxa"/>
                  <w:vAlign w:val="center"/>
                </w:tcPr>
                <w:p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B   Width (mm)</w:t>
                  </w:r>
                </w:p>
              </w:tc>
              <w:tc>
                <w:tcPr>
                  <w:tcW w:w="4665" w:type="dxa"/>
                  <w:vAlign w:val="center"/>
                </w:tcPr>
                <w:p>
                  <w:pPr>
                    <w:spacing w:line="360" w:lineRule="auto"/>
                    <w:ind w:right="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495</w:t>
                  </w:r>
                  <m:oMath>
                    <m:r>
                      <m:rPr>
                        <m:sty m:val="p"/>
                      </m:r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m:t>±</m:t>
                    </m:r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0.5</m:t>
                    </m:r>
                  </m:oMath>
                </w:p>
              </w:tc>
            </w:tr>
            <w:tr>
              <w:tblPrEx>
                <w:tblBorders>
                  <w:top w:val="single" w:color="000000" w:sz="12" w:space="0"/>
                  <w:left w:val="single" w:color="000000" w:sz="12" w:space="0"/>
                  <w:bottom w:val="single" w:color="000000" w:sz="12" w:space="0"/>
                  <w:right w:val="single" w:color="000000" w:sz="12" w:space="0"/>
                  <w:insideH w:val="single" w:color="000000" w:sz="12" w:space="0"/>
                  <w:insideV w:val="single" w:color="000000" w:sz="12" w:space="0"/>
                </w:tblBorders>
                <w:tblLayout w:type="fixed"/>
                <w:tblCellMar>
                  <w:top w:w="72" w:type="dxa"/>
                  <w:left w:w="47" w:type="dxa"/>
                  <w:bottom w:w="17" w:type="dxa"/>
                  <w:right w:w="18" w:type="dxa"/>
                </w:tblCellMar>
              </w:tblPrEx>
              <w:trPr>
                <w:trHeight w:val="440" w:hRule="atLeast"/>
              </w:trPr>
              <w:tc>
                <w:tcPr>
                  <w:tcW w:w="3571" w:type="dxa"/>
                  <w:vAlign w:val="center"/>
                </w:tcPr>
                <w:p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C   Patch height (mm)</w:t>
                  </w:r>
                </w:p>
              </w:tc>
              <w:tc>
                <w:tcPr>
                  <w:tcW w:w="4665" w:type="dxa"/>
                  <w:vAlign w:val="center"/>
                </w:tcPr>
                <w:p>
                  <w:pPr>
                    <w:spacing w:line="360" w:lineRule="auto"/>
                    <w:ind w:right="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110</w:t>
                  </w:r>
                  <m:oMath>
                    <m:r>
                      <m:rPr>
                        <m:sty m:val="p"/>
                      </m:r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m:t>±</m:t>
                    </m:r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0.2</m:t>
                    </m:r>
                  </m:oMath>
                </w:p>
              </w:tc>
            </w:tr>
            <w:tr>
              <w:tblPrEx>
                <w:tblBorders>
                  <w:top w:val="single" w:color="000000" w:sz="12" w:space="0"/>
                  <w:left w:val="single" w:color="000000" w:sz="12" w:space="0"/>
                  <w:bottom w:val="single" w:color="000000" w:sz="12" w:space="0"/>
                  <w:right w:val="single" w:color="000000" w:sz="12" w:space="0"/>
                  <w:insideH w:val="single" w:color="000000" w:sz="12" w:space="0"/>
                  <w:insideV w:val="single" w:color="000000" w:sz="12" w:space="0"/>
                </w:tblBorders>
                <w:tblLayout w:type="fixed"/>
                <w:tblCellMar>
                  <w:top w:w="72" w:type="dxa"/>
                  <w:left w:w="47" w:type="dxa"/>
                  <w:bottom w:w="17" w:type="dxa"/>
                  <w:right w:w="18" w:type="dxa"/>
                </w:tblCellMar>
              </w:tblPrEx>
              <w:trPr>
                <w:trHeight w:val="404" w:hRule="atLeast"/>
              </w:trPr>
              <w:tc>
                <w:tcPr>
                  <w:tcW w:w="3571" w:type="dxa"/>
                  <w:vAlign w:val="center"/>
                </w:tcPr>
                <w:p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D   Patch length(mm)</w:t>
                  </w:r>
                </w:p>
              </w:tc>
              <w:tc>
                <w:tcPr>
                  <w:tcW w:w="4665" w:type="dxa"/>
                  <w:vAlign w:val="center"/>
                </w:tcPr>
                <w:p>
                  <w:pPr>
                    <w:tabs>
                      <w:tab w:val="center" w:pos="1290"/>
                      <w:tab w:val="center" w:pos="1894"/>
                    </w:tabs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385±0.5</w:t>
                  </w:r>
                </w:p>
              </w:tc>
            </w:tr>
            <w:tr>
              <w:tblPrEx>
                <w:tblBorders>
                  <w:top w:val="single" w:color="000000" w:sz="12" w:space="0"/>
                  <w:left w:val="single" w:color="000000" w:sz="12" w:space="0"/>
                  <w:bottom w:val="single" w:color="000000" w:sz="12" w:space="0"/>
                  <w:right w:val="single" w:color="000000" w:sz="12" w:space="0"/>
                  <w:insideH w:val="single" w:color="000000" w:sz="12" w:space="0"/>
                  <w:insideV w:val="single" w:color="000000" w:sz="12" w:space="0"/>
                </w:tblBorders>
                <w:tblLayout w:type="fixed"/>
                <w:tblCellMar>
                  <w:top w:w="72" w:type="dxa"/>
                  <w:left w:w="47" w:type="dxa"/>
                  <w:bottom w:w="17" w:type="dxa"/>
                  <w:right w:w="18" w:type="dxa"/>
                </w:tblCellMar>
              </w:tblPrEx>
              <w:trPr>
                <w:trHeight w:val="397" w:hRule="atLeast"/>
              </w:trPr>
              <w:tc>
                <w:tcPr>
                  <w:tcW w:w="3571" w:type="dxa"/>
                  <w:vAlign w:val="center"/>
                </w:tcPr>
                <w:p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E   Valve depth (mm)</w:t>
                  </w:r>
                </w:p>
              </w:tc>
              <w:tc>
                <w:tcPr>
                  <w:tcW w:w="4665" w:type="dxa"/>
                  <w:shd w:val="clear" w:color="auto" w:fill="FFFFFF" w:themeFill="background1"/>
                  <w:vAlign w:val="center"/>
                </w:tcPr>
                <w:p>
                  <w:pPr>
                    <w:tabs>
                      <w:tab w:val="center" w:pos="1290"/>
                      <w:tab w:val="center" w:pos="1894"/>
                    </w:tabs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Calibri" w:cs="Times New Roman"/>
                      <w:color w:val="auto"/>
                      <w:sz w:val="24"/>
                      <w:szCs w:val="24"/>
                    </w:rPr>
                    <w:t>170</w:t>
                  </w:r>
                  <m:oMath>
                    <m:r>
                      <m:rPr>
                        <m:sty m:val="p"/>
                      </m:rPr>
                      <w:rPr>
                        <w:rFonts w:ascii="Times New Roman" w:hAnsi="Times New Roman" w:cs="Times New Roman"/>
                        <w:color w:val="auto"/>
                        <w:sz w:val="24"/>
                        <w:szCs w:val="24"/>
                      </w:rPr>
                      <m:t>±</m:t>
                    </m:r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color w:val="auto"/>
                        <w:sz w:val="24"/>
                        <w:szCs w:val="24"/>
                      </w:rPr>
                      <m:t>0.2</m:t>
                    </m:r>
                  </m:oMath>
                </w:p>
              </w:tc>
            </w:tr>
            <w:tr>
              <w:tblPrEx>
                <w:tblBorders>
                  <w:top w:val="single" w:color="000000" w:sz="12" w:space="0"/>
                  <w:left w:val="single" w:color="000000" w:sz="12" w:space="0"/>
                  <w:bottom w:val="single" w:color="000000" w:sz="12" w:space="0"/>
                  <w:right w:val="single" w:color="000000" w:sz="12" w:space="0"/>
                  <w:insideH w:val="single" w:color="000000" w:sz="12" w:space="0"/>
                  <w:insideV w:val="single" w:color="000000" w:sz="12" w:space="0"/>
                </w:tblBorders>
                <w:tblLayout w:type="fixed"/>
                <w:tblCellMar>
                  <w:top w:w="72" w:type="dxa"/>
                  <w:left w:w="47" w:type="dxa"/>
                  <w:bottom w:w="17" w:type="dxa"/>
                  <w:right w:w="18" w:type="dxa"/>
                </w:tblCellMar>
              </w:tblPrEx>
              <w:trPr>
                <w:trHeight w:val="499" w:hRule="atLeast"/>
              </w:trPr>
              <w:tc>
                <w:tcPr>
                  <w:tcW w:w="3571" w:type="dxa"/>
                  <w:vAlign w:val="center"/>
                </w:tcPr>
                <w:p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F    Valve height(mm)</w:t>
                  </w:r>
                </w:p>
              </w:tc>
              <w:tc>
                <w:tcPr>
                  <w:tcW w:w="4665" w:type="dxa"/>
                  <w:vAlign w:val="center"/>
                </w:tcPr>
                <w:p>
                  <w:pPr>
                    <w:tabs>
                      <w:tab w:val="center" w:pos="1290"/>
                      <w:tab w:val="center" w:pos="1894"/>
                    </w:tabs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  <w:t>115±0.2</w:t>
                  </w:r>
                </w:p>
              </w:tc>
            </w:tr>
            <w:tr>
              <w:tblPrEx>
                <w:tblBorders>
                  <w:top w:val="single" w:color="000000" w:sz="12" w:space="0"/>
                  <w:left w:val="single" w:color="000000" w:sz="12" w:space="0"/>
                  <w:bottom w:val="single" w:color="000000" w:sz="12" w:space="0"/>
                  <w:right w:val="single" w:color="000000" w:sz="12" w:space="0"/>
                  <w:insideH w:val="single" w:color="000000" w:sz="12" w:space="0"/>
                  <w:insideV w:val="single" w:color="000000" w:sz="12" w:space="0"/>
                </w:tblBorders>
                <w:tblLayout w:type="fixed"/>
                <w:tblCellMar>
                  <w:top w:w="72" w:type="dxa"/>
                  <w:left w:w="47" w:type="dxa"/>
                  <w:bottom w:w="17" w:type="dxa"/>
                  <w:right w:w="18" w:type="dxa"/>
                </w:tblCellMar>
              </w:tblPrEx>
              <w:trPr>
                <w:trHeight w:val="430" w:hRule="atLeast"/>
              </w:trPr>
              <w:tc>
                <w:tcPr>
                  <w:tcW w:w="3571" w:type="dxa"/>
                  <w:vAlign w:val="center"/>
                </w:tcPr>
                <w:p>
                  <w:pPr>
                    <w:spacing w:line="360" w:lineRule="auto"/>
                    <w:ind w:left="8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Valve Colour </w:t>
                  </w:r>
                </w:p>
              </w:tc>
              <w:tc>
                <w:tcPr>
                  <w:tcW w:w="4665" w:type="dxa"/>
                  <w:vAlign w:val="center"/>
                </w:tcPr>
                <w:p>
                  <w:pPr>
                    <w:tabs>
                      <w:tab w:val="center" w:pos="1290"/>
                      <w:tab w:val="center" w:pos="1894"/>
                    </w:tabs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  <w:t>Red</w:t>
                  </w:r>
                </w:p>
              </w:tc>
            </w:tr>
            <w:tr>
              <w:tblPrEx>
                <w:tblBorders>
                  <w:top w:val="single" w:color="000000" w:sz="12" w:space="0"/>
                  <w:left w:val="single" w:color="000000" w:sz="12" w:space="0"/>
                  <w:bottom w:val="single" w:color="000000" w:sz="12" w:space="0"/>
                  <w:right w:val="single" w:color="000000" w:sz="12" w:space="0"/>
                  <w:insideH w:val="single" w:color="000000" w:sz="12" w:space="0"/>
                  <w:insideV w:val="single" w:color="000000" w:sz="12" w:space="0"/>
                </w:tblBorders>
                <w:tblLayout w:type="fixed"/>
                <w:tblCellMar>
                  <w:top w:w="72" w:type="dxa"/>
                  <w:left w:w="47" w:type="dxa"/>
                  <w:bottom w:w="17" w:type="dxa"/>
                  <w:right w:w="18" w:type="dxa"/>
                </w:tblCellMar>
              </w:tblPrEx>
              <w:trPr>
                <w:trHeight w:val="431" w:hRule="atLeast"/>
              </w:trPr>
              <w:tc>
                <w:tcPr>
                  <w:tcW w:w="3571" w:type="dxa"/>
                  <w:vAlign w:val="center"/>
                </w:tcPr>
                <w:p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Valve orientation</w:t>
                  </w:r>
                </w:p>
              </w:tc>
              <w:tc>
                <w:tcPr>
                  <w:tcW w:w="4665" w:type="dxa"/>
                  <w:vAlign w:val="center"/>
                </w:tcPr>
                <w:p>
                  <w:pPr>
                    <w:spacing w:line="360" w:lineRule="auto"/>
                    <w:ind w:right="11"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  <w:t xml:space="preserve">Back  left </w:t>
                  </w:r>
                </w:p>
              </w:tc>
            </w:tr>
            <w:tr>
              <w:tblPrEx>
                <w:tblBorders>
                  <w:top w:val="single" w:color="000000" w:sz="12" w:space="0"/>
                  <w:left w:val="single" w:color="000000" w:sz="12" w:space="0"/>
                  <w:bottom w:val="single" w:color="000000" w:sz="12" w:space="0"/>
                  <w:right w:val="single" w:color="000000" w:sz="12" w:space="0"/>
                  <w:insideH w:val="single" w:color="000000" w:sz="12" w:space="0"/>
                  <w:insideV w:val="single" w:color="000000" w:sz="12" w:space="0"/>
                </w:tblBorders>
                <w:tblLayout w:type="fixed"/>
                <w:tblCellMar>
                  <w:top w:w="72" w:type="dxa"/>
                  <w:left w:w="47" w:type="dxa"/>
                  <w:bottom w:w="17" w:type="dxa"/>
                  <w:right w:w="18" w:type="dxa"/>
                </w:tblCellMar>
              </w:tblPrEx>
              <w:trPr>
                <w:trHeight w:val="446" w:hRule="atLeast"/>
              </w:trPr>
              <w:tc>
                <w:tcPr>
                  <w:tcW w:w="3571" w:type="dxa"/>
                  <w:vAlign w:val="center"/>
                </w:tcPr>
                <w:p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Micro perforation: </w:t>
                  </w:r>
                </w:p>
              </w:tc>
              <w:tc>
                <w:tcPr>
                  <w:tcW w:w="4665" w:type="dxa"/>
                  <w:vAlign w:val="center"/>
                </w:tcPr>
                <w:p>
                  <w:pPr>
                    <w:spacing w:line="360" w:lineRule="auto"/>
                    <w:ind w:left="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Yes </w:t>
                  </w:r>
                </w:p>
              </w:tc>
            </w:tr>
            <w:tr>
              <w:tblPrEx>
                <w:tblBorders>
                  <w:top w:val="single" w:color="000000" w:sz="12" w:space="0"/>
                  <w:left w:val="single" w:color="000000" w:sz="12" w:space="0"/>
                  <w:bottom w:val="single" w:color="000000" w:sz="12" w:space="0"/>
                  <w:right w:val="single" w:color="000000" w:sz="12" w:space="0"/>
                  <w:insideH w:val="single" w:color="000000" w:sz="12" w:space="0"/>
                  <w:insideV w:val="single" w:color="000000" w:sz="12" w:space="0"/>
                </w:tblBorders>
                <w:tblLayout w:type="fixed"/>
                <w:tblCellMar>
                  <w:top w:w="72" w:type="dxa"/>
                  <w:left w:w="47" w:type="dxa"/>
                  <w:bottom w:w="17" w:type="dxa"/>
                  <w:right w:w="18" w:type="dxa"/>
                </w:tblCellMar>
              </w:tblPrEx>
              <w:trPr>
                <w:trHeight w:val="466" w:hRule="atLeast"/>
              </w:trPr>
              <w:tc>
                <w:tcPr>
                  <w:tcW w:w="3571" w:type="dxa"/>
                </w:tcPr>
                <w:p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Air Permeability</w:t>
                  </w:r>
                </w:p>
              </w:tc>
              <w:tc>
                <w:tcPr>
                  <w:tcW w:w="4665" w:type="dxa"/>
                </w:tcPr>
                <w:p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&gt; 120 cu. M/50 mbar</w:t>
                  </w:r>
                </w:p>
              </w:tc>
            </w:tr>
            <w:tr>
              <w:tblPrEx>
                <w:tblBorders>
                  <w:top w:val="single" w:color="000000" w:sz="12" w:space="0"/>
                  <w:left w:val="single" w:color="000000" w:sz="12" w:space="0"/>
                  <w:bottom w:val="single" w:color="000000" w:sz="12" w:space="0"/>
                  <w:right w:val="single" w:color="000000" w:sz="12" w:space="0"/>
                  <w:insideH w:val="single" w:color="000000" w:sz="12" w:space="0"/>
                  <w:insideV w:val="single" w:color="000000" w:sz="12" w:space="0"/>
                </w:tblBorders>
                <w:tblLayout w:type="fixed"/>
                <w:tblCellMar>
                  <w:top w:w="72" w:type="dxa"/>
                  <w:left w:w="47" w:type="dxa"/>
                  <w:bottom w:w="17" w:type="dxa"/>
                  <w:right w:w="18" w:type="dxa"/>
                </w:tblCellMar>
              </w:tblPrEx>
              <w:trPr>
                <w:trHeight w:val="442" w:hRule="atLeast"/>
              </w:trPr>
              <w:tc>
                <w:tcPr>
                  <w:tcW w:w="3571" w:type="dxa"/>
                </w:tcPr>
                <w:p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Coating</w:t>
                  </w:r>
                </w:p>
              </w:tc>
              <w:tc>
                <w:tcPr>
                  <w:tcW w:w="4665" w:type="dxa"/>
                </w:tcPr>
                <w:p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25 GSM ± 3 GSM</w:t>
                  </w:r>
                </w:p>
              </w:tc>
            </w:tr>
            <w:tr>
              <w:tblPrEx>
                <w:tblBorders>
                  <w:top w:val="single" w:color="000000" w:sz="12" w:space="0"/>
                  <w:left w:val="single" w:color="000000" w:sz="12" w:space="0"/>
                  <w:bottom w:val="single" w:color="000000" w:sz="12" w:space="0"/>
                  <w:right w:val="single" w:color="000000" w:sz="12" w:space="0"/>
                  <w:insideH w:val="single" w:color="000000" w:sz="12" w:space="0"/>
                  <w:insideV w:val="single" w:color="000000" w:sz="12" w:space="0"/>
                </w:tblBorders>
                <w:tblLayout w:type="fixed"/>
                <w:tblCellMar>
                  <w:top w:w="72" w:type="dxa"/>
                  <w:left w:w="47" w:type="dxa"/>
                  <w:bottom w:w="17" w:type="dxa"/>
                  <w:right w:w="18" w:type="dxa"/>
                </w:tblCellMar>
              </w:tblPrEx>
              <w:trPr>
                <w:trHeight w:val="497" w:hRule="atLeast"/>
              </w:trPr>
              <w:tc>
                <w:tcPr>
                  <w:tcW w:w="3571" w:type="dxa"/>
                </w:tcPr>
                <w:p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Bag strength</w:t>
                  </w:r>
                </w:p>
              </w:tc>
              <w:tc>
                <w:tcPr>
                  <w:tcW w:w="4665" w:type="dxa"/>
                </w:tcPr>
                <w:p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&gt; 650 Newton in Warp direction</w:t>
                  </w:r>
                </w:p>
              </w:tc>
            </w:tr>
            <w:tr>
              <w:tblPrEx>
                <w:tblBorders>
                  <w:top w:val="single" w:color="000000" w:sz="12" w:space="0"/>
                  <w:left w:val="single" w:color="000000" w:sz="12" w:space="0"/>
                  <w:bottom w:val="single" w:color="000000" w:sz="12" w:space="0"/>
                  <w:right w:val="single" w:color="000000" w:sz="12" w:space="0"/>
                  <w:insideH w:val="single" w:color="000000" w:sz="12" w:space="0"/>
                  <w:insideV w:val="single" w:color="000000" w:sz="12" w:space="0"/>
                </w:tblBorders>
                <w:tblLayout w:type="fixed"/>
                <w:tblCellMar>
                  <w:top w:w="72" w:type="dxa"/>
                  <w:left w:w="47" w:type="dxa"/>
                  <w:bottom w:w="17" w:type="dxa"/>
                  <w:right w:w="18" w:type="dxa"/>
                </w:tblCellMar>
              </w:tblPrEx>
              <w:trPr>
                <w:trHeight w:val="504" w:hRule="atLeast"/>
              </w:trPr>
              <w:tc>
                <w:tcPr>
                  <w:tcW w:w="3571" w:type="dxa"/>
                </w:tcPr>
                <w:p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Bag weight</w:t>
                  </w:r>
                </w:p>
              </w:tc>
              <w:tc>
                <w:tcPr>
                  <w:tcW w:w="4665" w:type="dxa"/>
                </w:tcPr>
                <w:p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83 GSM±2GSM</w:t>
                  </w:r>
                </w:p>
              </w:tc>
            </w:tr>
          </w:tbl>
          <w:p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2、Detailed design of Packing bag：</w:t>
            </w:r>
          </w:p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drawing>
                <wp:inline distT="0" distB="0" distL="0" distR="0">
                  <wp:extent cx="5259705" cy="6032500"/>
                  <wp:effectExtent l="0" t="0" r="17145" b="6350"/>
                  <wp:docPr id="9" name="图片 9" descr="C:\Users\lenovo\AppData\Local\Microsoft\Windows\INetCache\Content.Word\包装袋尺寸1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C:\Users\lenovo\AppData\Local\Microsoft\Windows\INetCache\Content.Word\包装袋尺寸1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18452" cy="61000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ind w:left="49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>
      <w:pPr>
        <w:spacing w:line="360" w:lineRule="auto"/>
        <w:jc w:val="both"/>
        <w:rPr>
          <w:rFonts w:ascii="Times New Roman" w:hAnsi="Times New Roman" w:eastAsia="仿宋" w:cs="Times New Roman"/>
          <w:sz w:val="24"/>
          <w:szCs w:val="24"/>
        </w:rPr>
      </w:pPr>
      <w:r>
        <w:rPr>
          <w:rFonts w:ascii="Times New Roman" w:hAnsi="Times New Roman" w:eastAsia="仿宋" w:cs="Times New Roman"/>
          <w:sz w:val="24"/>
          <w:szCs w:val="24"/>
        </w:rPr>
        <w:t xml:space="preserve">  </w:t>
      </w:r>
    </w:p>
    <w:p>
      <w:pPr>
        <w:spacing w:line="360" w:lineRule="auto"/>
        <w:jc w:val="both"/>
        <w:rPr>
          <w:rFonts w:ascii="Times New Roman" w:hAnsi="Times New Roman" w:eastAsia="仿宋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final design and specification shall be in accordance with the client’s requirement. </w:t>
      </w:r>
    </w:p>
    <w:p>
      <w:pPr>
        <w:spacing w:line="360" w:lineRule="auto"/>
        <w:jc w:val="both"/>
        <w:rPr>
          <w:rFonts w:ascii="Times New Roman" w:hAnsi="Times New Roman" w:eastAsia="仿宋" w:cs="Times New Roman"/>
          <w:sz w:val="24"/>
          <w:szCs w:val="24"/>
        </w:rPr>
      </w:pPr>
      <w:r>
        <w:rPr>
          <w:rFonts w:ascii="Times New Roman" w:hAnsi="Times New Roman" w:eastAsia="仿宋" w:cs="Times New Roman"/>
          <w:sz w:val="24"/>
          <w:szCs w:val="24"/>
        </w:rPr>
        <w:t>3, Technical requirements</w:t>
      </w:r>
    </w:p>
    <w:p>
      <w:pPr>
        <w:spacing w:line="360" w:lineRule="auto"/>
        <w:jc w:val="both"/>
        <w:rPr>
          <w:rFonts w:ascii="Times New Roman" w:hAnsi="Times New Roman" w:eastAsia="仿宋" w:cs="Times New Roman"/>
          <w:sz w:val="24"/>
          <w:szCs w:val="24"/>
        </w:rPr>
      </w:pPr>
      <w:r>
        <w:rPr>
          <w:rFonts w:ascii="Times New Roman" w:hAnsi="Times New Roman" w:eastAsia="仿宋" w:cs="Times New Roman"/>
          <w:sz w:val="24"/>
          <w:szCs w:val="24"/>
        </w:rPr>
        <w:t>Product name: two-layer plastic woven bags</w:t>
      </w:r>
    </w:p>
    <w:p>
      <w:pPr>
        <w:spacing w:line="360" w:lineRule="auto"/>
        <w:jc w:val="both"/>
        <w:rPr>
          <w:rFonts w:ascii="Times New Roman" w:hAnsi="Times New Roman" w:eastAsia="仿宋" w:cs="Times New Roman"/>
          <w:sz w:val="24"/>
          <w:szCs w:val="24"/>
        </w:rPr>
      </w:pPr>
    </w:p>
    <w:p>
      <w:pPr>
        <w:spacing w:line="360" w:lineRule="auto"/>
        <w:jc w:val="both"/>
        <w:rPr>
          <w:rFonts w:ascii="Times New Roman" w:hAnsi="Times New Roman" w:eastAsia="仿宋" w:cs="Times New Roman"/>
          <w:sz w:val="24"/>
          <w:szCs w:val="24"/>
        </w:rPr>
      </w:pPr>
      <w:r>
        <w:rPr>
          <w:rFonts w:ascii="Times New Roman" w:hAnsi="Times New Roman" w:eastAsia="仿宋" w:cs="Times New Roman"/>
          <w:sz w:val="24"/>
          <w:szCs w:val="24"/>
        </w:rPr>
        <w:t>Color: It shall be made according to the design, format and color provided by the client</w:t>
      </w:r>
    </w:p>
    <w:p>
      <w:pPr>
        <w:spacing w:line="360" w:lineRule="auto"/>
        <w:jc w:val="both"/>
        <w:rPr>
          <w:rFonts w:ascii="Times New Roman" w:hAnsi="Times New Roman" w:eastAsia="仿宋" w:cs="Times New Roman"/>
          <w:sz w:val="24"/>
          <w:szCs w:val="24"/>
        </w:rPr>
      </w:pPr>
    </w:p>
    <w:p>
      <w:pPr>
        <w:spacing w:line="360" w:lineRule="auto"/>
        <w:jc w:val="both"/>
        <w:rPr>
          <w:rFonts w:ascii="Times New Roman" w:hAnsi="Times New Roman" w:eastAsia="仿宋" w:cs="Times New Roman"/>
          <w:strike/>
          <w:color w:val="FF0000"/>
          <w:sz w:val="24"/>
          <w:szCs w:val="24"/>
        </w:rPr>
      </w:pPr>
      <w:r>
        <w:rPr>
          <w:rFonts w:ascii="Times New Roman" w:hAnsi="Times New Roman" w:eastAsia="仿宋" w:cs="Times New Roman"/>
          <w:sz w:val="24"/>
          <w:szCs w:val="24"/>
        </w:rPr>
        <w:t>Format requirement: it shall be made in line with the requirements provided by the client, the mark shall be clear, correct and right color</w:t>
      </w:r>
    </w:p>
    <w:p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eastAsia="仿宋" w:cs="Times New Roman"/>
          <w:sz w:val="24"/>
          <w:szCs w:val="24"/>
        </w:rPr>
      </w:pPr>
      <w:bookmarkStart w:id="0" w:name="_Hlk508583147"/>
      <w:r>
        <w:rPr>
          <w:rFonts w:ascii="Times New Roman" w:hAnsi="Times New Roman" w:eastAsia="仿宋" w:cs="Times New Roman"/>
          <w:sz w:val="24"/>
          <w:szCs w:val="24"/>
        </w:rPr>
        <w:t>≤100℃</w:t>
      </w:r>
      <w:bookmarkEnd w:id="0"/>
      <w:r>
        <w:rPr>
          <w:rFonts w:ascii="Times New Roman" w:hAnsi="Times New Roman" w:eastAsia="仿宋" w:cs="Times New Roman"/>
          <w:sz w:val="24"/>
          <w:szCs w:val="24"/>
        </w:rPr>
        <w:t>. The acceptable temperature: ≤100℃</w:t>
      </w:r>
    </w:p>
    <w:p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eastAsia="仿宋" w:cs="Times New Roman"/>
          <w:sz w:val="24"/>
          <w:szCs w:val="24"/>
        </w:rPr>
      </w:pPr>
      <w:r>
        <w:rPr>
          <w:rFonts w:ascii="Times New Roman" w:hAnsi="Times New Roman" w:eastAsia="仿宋" w:cs="Times New Roman"/>
          <w:sz w:val="24"/>
          <w:szCs w:val="24"/>
        </w:rPr>
        <w:t>Damage rate shall be less than 3‰, bags damaged over that rate shall be provided by the contractor free of charge.</w:t>
      </w:r>
    </w:p>
    <w:p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eastAsia="仿宋" w:cs="Times New Roman"/>
          <w:color w:val="auto"/>
          <w:sz w:val="24"/>
          <w:szCs w:val="24"/>
        </w:rPr>
      </w:pPr>
      <w:r>
        <w:rPr>
          <w:rFonts w:ascii="Times New Roman" w:hAnsi="Times New Roman" w:eastAsia="仿宋" w:cs="Times New Roman"/>
          <w:color w:val="auto"/>
          <w:sz w:val="24"/>
          <w:szCs w:val="24"/>
        </w:rPr>
        <w:t>Package type shall be 100 pcs/bundle, easy to pack, the package fee shall be included in the quotation.</w:t>
      </w:r>
    </w:p>
    <w:p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eastAsia="仿宋" w:cs="Times New Roman"/>
          <w:color w:val="auto"/>
          <w:sz w:val="24"/>
          <w:szCs w:val="24"/>
        </w:rPr>
      </w:pPr>
      <w:r>
        <w:rPr>
          <w:rFonts w:ascii="Times New Roman" w:hAnsi="Times New Roman" w:eastAsia="仿宋" w:cs="Times New Roman"/>
          <w:color w:val="auto"/>
          <w:sz w:val="24"/>
          <w:szCs w:val="24"/>
        </w:rPr>
        <w:t xml:space="preserve">1±0.02m </w:t>
      </w:r>
      <w:r>
        <w:rPr>
          <w:rFonts w:hint="eastAsia" w:ascii="Times New Roman" w:hAnsi="Times New Roman" w:eastAsia="仿宋" w:cs="Times New Roman"/>
          <w:color w:val="auto"/>
          <w:sz w:val="24"/>
          <w:szCs w:val="24"/>
        </w:rPr>
        <w:t xml:space="preserve">Selecting 5 sample bags arbitrarily,  these bags shall not break for over 8 times falling tests from </w:t>
      </w:r>
      <w:r>
        <w:rPr>
          <w:rFonts w:ascii="Times New Roman" w:hAnsi="Times New Roman" w:eastAsia="仿宋" w:cs="Times New Roman"/>
          <w:color w:val="auto"/>
          <w:sz w:val="24"/>
          <w:szCs w:val="24"/>
        </w:rPr>
        <w:t>1±0.02m</w:t>
      </w:r>
      <w:r>
        <w:rPr>
          <w:rFonts w:hint="eastAsia" w:ascii="Times New Roman" w:hAnsi="Times New Roman" w:eastAsia="仿宋" w:cs="Times New Roman"/>
          <w:color w:val="auto"/>
          <w:sz w:val="24"/>
          <w:szCs w:val="24"/>
        </w:rPr>
        <w:t xml:space="preserve"> of height under the condition of </w:t>
      </w:r>
      <w:r>
        <w:rPr>
          <w:rFonts w:ascii="Times New Roman" w:hAnsi="Times New Roman" w:eastAsia="仿宋" w:cs="Times New Roman"/>
          <w:color w:val="auto"/>
          <w:sz w:val="24"/>
          <w:szCs w:val="24"/>
        </w:rPr>
        <w:t>≤100</w:t>
      </w:r>
      <w:r>
        <w:rPr>
          <w:rFonts w:hAnsi="Times New Roman" w:cs="Times New Roman"/>
          <w:color w:val="auto"/>
          <w:sz w:val="24"/>
          <w:szCs w:val="24"/>
        </w:rPr>
        <w:t>℃</w:t>
      </w:r>
      <w:r>
        <w:rPr>
          <w:rFonts w:hint="eastAsia" w:hAnsi="Times New Roman" w:cs="Times New Roman"/>
          <w:color w:val="auto"/>
          <w:sz w:val="24"/>
          <w:szCs w:val="24"/>
        </w:rPr>
        <w:t xml:space="preserve"> </w:t>
      </w:r>
      <w:r>
        <w:rPr>
          <w:rFonts w:hint="eastAsia" w:ascii="Times New Roman" w:hAnsi="Times New Roman" w:eastAsia="仿宋" w:cs="Times New Roman"/>
          <w:color w:val="auto"/>
          <w:sz w:val="24"/>
          <w:szCs w:val="24"/>
        </w:rPr>
        <w:t xml:space="preserve">thermal treatment and loading </w:t>
      </w:r>
      <w:r>
        <w:rPr>
          <w:rFonts w:ascii="Times New Roman" w:hAnsi="Times New Roman" w:eastAsia="仿宋" w:cs="Times New Roman"/>
          <w:color w:val="auto"/>
          <w:sz w:val="24"/>
          <w:szCs w:val="24"/>
        </w:rPr>
        <w:t>50±0.2kg</w:t>
      </w:r>
      <w:r>
        <w:rPr>
          <w:rFonts w:hint="eastAsia" w:ascii="Times New Roman" w:hAnsi="Times New Roman" w:eastAsia="仿宋" w:cs="Times New Roman"/>
          <w:color w:val="auto"/>
          <w:sz w:val="24"/>
          <w:szCs w:val="24"/>
        </w:rPr>
        <w:t xml:space="preserve"> sand. </w:t>
      </w:r>
    </w:p>
    <w:p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eastAsia="仿宋" w:cs="Times New Roman"/>
          <w:sz w:val="24"/>
          <w:szCs w:val="24"/>
        </w:rPr>
      </w:pPr>
      <w:r>
        <w:rPr>
          <w:rFonts w:hint="eastAsia" w:ascii="Times New Roman" w:hAnsi="Times New Roman" w:eastAsia="仿宋" w:cs="Times New Roman"/>
          <w:sz w:val="24"/>
          <w:szCs w:val="24"/>
        </w:rPr>
        <w:t>meet the national quality standards of Zambia.</w:t>
      </w:r>
    </w:p>
    <w:p>
      <w:pPr>
        <w:spacing w:line="360" w:lineRule="auto"/>
        <w:jc w:val="both"/>
        <w:rPr>
          <w:rFonts w:ascii="Times New Roman" w:hAnsi="Times New Roman" w:eastAsia="仿宋" w:cs="Times New Roman"/>
          <w:sz w:val="24"/>
          <w:szCs w:val="24"/>
        </w:rPr>
      </w:pPr>
    </w:p>
    <w:p/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default"/>
    <w:sig w:usb0="E00002FF" w:usb1="420024FF" w:usb2="00000000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705402D"/>
    <w:multiLevelType w:val="singleLevel"/>
    <w:tmpl w:val="E705402D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ocumentProtection w:enforcement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3B3"/>
    <w:rsid w:val="00441708"/>
    <w:rsid w:val="0061544F"/>
    <w:rsid w:val="00B043B3"/>
    <w:rsid w:val="00D16B70"/>
    <w:rsid w:val="1BC13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宋体" w:hAnsi="宋体" w:eastAsia="宋体" w:cs="宋体"/>
      <w:color w:val="000000"/>
      <w:kern w:val="2"/>
      <w:sz w:val="26"/>
      <w:szCs w:val="22"/>
      <w:lang w:val="en-US" w:eastAsia="zh-CN" w:bidi="ar-SA"/>
    </w:rPr>
  </w:style>
  <w:style w:type="character" w:default="1" w:styleId="3">
    <w:name w:val="Default Paragraph Font"/>
    <w:unhideWhenUsed/>
    <w:uiPriority w:val="1"/>
  </w:style>
  <w:style w:type="table" w:default="1" w:styleId="4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table" w:customStyle="1" w:styleId="5">
    <w:name w:val="TableGrid"/>
    <w:qFormat/>
    <w:uiPriority w:val="0"/>
    <w:rPr>
      <w:rFonts w:ascii="Times New Roman" w:hAnsi="Times New Roman" w:eastAsia="宋体" w:cs="Times New Roman"/>
      <w:sz w:val="20"/>
      <w:szCs w:val="20"/>
    </w:rPr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6">
    <w:name w:val="Balloon Text Char"/>
    <w:basedOn w:val="3"/>
    <w:link w:val="2"/>
    <w:semiHidden/>
    <w:uiPriority w:val="99"/>
    <w:rPr>
      <w:rFonts w:ascii="Tahoma" w:hAnsi="Tahoma" w:eastAsia="宋体" w:cs="Tahoma"/>
      <w:color w:val="000000"/>
      <w:kern w:val="2"/>
      <w:sz w:val="16"/>
      <w:szCs w:val="16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222</Words>
  <Characters>1269</Characters>
  <Lines>10</Lines>
  <Paragraphs>2</Paragraphs>
  <ScaleCrop>false</ScaleCrop>
  <LinksUpToDate>false</LinksUpToDate>
  <CharactersWithSpaces>1489</CharactersWithSpaces>
  <Application>WPS Office_10.1.0.6929_F1E327BC-269C-435d-A152-05C5408002CA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2018-04-01T09:58:00Z</dcterms:created>
  <dc:creator>Green</dc:creator>
  <cp:lastModifiedBy>Administrator</cp:lastModifiedBy>
  <dcterms:modified xsi:type="dcterms:W3CDTF">2018-04-02T08:34:50Z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