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34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货物名称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招标技术需求（型号规格、</w:t>
            </w:r>
            <w:r>
              <w:rPr>
                <w:rFonts w:ascii="宋体" w:hAnsi="宋体"/>
                <w:b/>
                <w:szCs w:val="21"/>
              </w:rPr>
              <w:t>技术参数</w:t>
            </w:r>
            <w:r>
              <w:rPr>
                <w:rFonts w:hint="eastAsia" w:ascii="宋体" w:hAnsi="宋体"/>
                <w:b/>
                <w:szCs w:val="21"/>
              </w:rPr>
              <w:t>、</w:t>
            </w:r>
            <w:r>
              <w:rPr>
                <w:rFonts w:ascii="宋体" w:hAnsi="宋体"/>
                <w:b/>
                <w:szCs w:val="21"/>
              </w:rPr>
              <w:t>性能</w:t>
            </w:r>
            <w:r>
              <w:rPr>
                <w:rFonts w:hint="eastAsia" w:ascii="宋体" w:hAnsi="宋体"/>
                <w:b/>
                <w:szCs w:val="21"/>
              </w:rPr>
              <w:t>及</w:t>
            </w:r>
            <w:r>
              <w:rPr>
                <w:rFonts w:ascii="宋体" w:hAnsi="宋体"/>
                <w:b/>
                <w:szCs w:val="21"/>
              </w:rPr>
              <w:t>配置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硅PU（中小学生操场、球场）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一、硅PU材料要求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1、总挥发性有机化合物（TVOC）含量（g/L）:≤200；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2、游离甲醛含量（g/kg）:≤0.5；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3、苯（g/kg）：≤0.5；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4、甲苯+二甲苯+乙苯 总和（g/kg）:≤0.1；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5、游离甲苯二异氰酸酯（g/kg）:≤10；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6、短链氯化石腊（C10-C13）(%)：≤0.15；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7、邻苯二甲酸酯类（DBP、BBP、DEHP、DNOP、DINP、DIDP）(%)：≤0.2；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8、重金属（mg/kg）：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可溶性铅（Pb）：≤50；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可溶性镉（Cb）：≤10；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可溶性铬（Cb）：≤10；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可溶性汞（Hb）：≤2；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9、拉断伸长率（%）：≥400，阻燃性1级。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约7300平方米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文鼎中隶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4263"/>
    <w:rsid w:val="163D0DD6"/>
    <w:rsid w:val="587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中等深浅网格 21"/>
    <w:basedOn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2017-10-12T08:11:00Z</dcterms:created>
  <dc:creator>Administrator</dc:creator>
  <cp:lastModifiedBy>Administrator</cp:lastModifiedBy>
  <dcterms:modified xsi:type="dcterms:W3CDTF">2017-10-12T08:23:26Z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