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5" Type="http://schemas.microsoft.com/office/2006/relationships/ui/userCustomization" Target="userCustomization/customUI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ind w:firstLine="880"/>
        <w:jc w:val="center"/>
        <w:rPr>
          <w:rFonts w:ascii="仿宋_GB2312" w:hAnsi="宋体" w:eastAsia="仿宋_GB2312"/>
          <w:b/>
          <w:color w:val="000000"/>
          <w:position w:val="-6"/>
          <w:sz w:val="44"/>
          <w:szCs w:val="44"/>
        </w:rPr>
      </w:pPr>
    </w:p>
    <w:p>
      <w:pPr>
        <w:spacing w:line="240" w:lineRule="auto"/>
        <w:ind w:firstLine="0" w:firstLineChars="0"/>
        <w:jc w:val="center"/>
        <w:rPr>
          <w:rFonts w:ascii="仿宋_GB2312" w:eastAsia="仿宋_GB2312" w:cs="Times New Roman"/>
          <w:b/>
          <w:sz w:val="32"/>
          <w:szCs w:val="32"/>
        </w:rPr>
      </w:pPr>
      <w:r>
        <w:rPr>
          <w:rFonts w:hint="eastAsia" w:ascii="仿宋_GB2312" w:eastAsia="仿宋_GB2312" w:cs="Times New Roman"/>
          <w:b/>
          <w:sz w:val="32"/>
          <w:szCs w:val="32"/>
        </w:rPr>
        <w:t>目录</w:t>
      </w:r>
    </w:p>
    <w:p>
      <w:pPr>
        <w:pStyle w:val="8"/>
        <w:tabs>
          <w:tab w:val="left" w:pos="1050"/>
          <w:tab w:val="right" w:leader="dot" w:pos="8296"/>
        </w:tabs>
        <w:ind w:firstLine="640"/>
        <w:rPr>
          <w:rFonts w:ascii="Calibri" w:hAnsi="Calibri" w:eastAsia="宋体"/>
          <w:sz w:val="21"/>
        </w:rPr>
      </w:pPr>
      <w:r>
        <w:rPr>
          <w:rFonts w:hint="eastAsia" w:ascii="仿宋_GB2312" w:hAnsi="Calibri" w:eastAsia="仿宋_GB2312" w:cs="Times New Roman"/>
          <w:bCs/>
          <w:caps/>
          <w:sz w:val="32"/>
          <w:szCs w:val="32"/>
        </w:rPr>
        <w:fldChar w:fldCharType="begin"/>
      </w:r>
      <w:r>
        <w:rPr>
          <w:rFonts w:hint="eastAsia" w:ascii="仿宋_GB2312" w:hAnsi="Calibri" w:eastAsia="仿宋_GB2312" w:cs="Times New Roman"/>
          <w:bCs/>
          <w:caps/>
          <w:sz w:val="32"/>
          <w:szCs w:val="32"/>
        </w:rPr>
        <w:instrText xml:space="preserve">TOC \o "1-2" \h \z \u</w:instrText>
      </w:r>
      <w:r>
        <w:rPr>
          <w:rFonts w:hint="eastAsia" w:ascii="仿宋_GB2312" w:hAnsi="Calibri" w:eastAsia="仿宋_GB2312" w:cs="Times New Roman"/>
          <w:bCs/>
          <w:caps/>
          <w:sz w:val="32"/>
          <w:szCs w:val="32"/>
        </w:rPr>
        <w:fldChar w:fldCharType="separate"/>
      </w:r>
      <w:r>
        <w:fldChar w:fldCharType="begin"/>
      </w:r>
      <w:r>
        <w:instrText xml:space="preserve">HYPERLINK  \l "_Toc407098398" </w:instrText>
      </w:r>
      <w:r>
        <w:fldChar w:fldCharType="separate"/>
      </w:r>
      <w:r>
        <w:rPr>
          <w:rStyle w:val="12"/>
          <w:rFonts w:ascii="仿宋_GB2312" w:eastAsia="仿宋_GB2312"/>
        </w:rPr>
        <w:t>1.</w:t>
      </w:r>
      <w:r>
        <w:rPr>
          <w:rFonts w:ascii="Calibri" w:hAnsi="Calibri" w:eastAsia="宋体"/>
          <w:sz w:val="21"/>
        </w:rPr>
        <w:tab/>
      </w:r>
      <w:r>
        <w:rPr>
          <w:rStyle w:val="12"/>
          <w:rFonts w:hint="eastAsia" w:ascii="仿宋_GB2312" w:eastAsia="仿宋_GB2312"/>
        </w:rPr>
        <w:t>范围</w:t>
      </w:r>
      <w:r>
        <w:tab/>
      </w:r>
      <w:r>
        <w:fldChar w:fldCharType="begin"/>
      </w:r>
      <w:r>
        <w:instrText xml:space="preserve"> PAGEREF _Toc407098398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8"/>
        <w:tabs>
          <w:tab w:val="left" w:pos="1050"/>
          <w:tab w:val="right" w:leader="dot" w:pos="8296"/>
        </w:tabs>
        <w:ind w:firstLine="480"/>
        <w:rPr>
          <w:rFonts w:ascii="Calibri" w:hAnsi="Calibri" w:eastAsia="宋体"/>
          <w:sz w:val="21"/>
        </w:rPr>
      </w:pPr>
      <w:r>
        <w:fldChar w:fldCharType="begin"/>
      </w:r>
      <w:r>
        <w:instrText xml:space="preserve">HYPERLINK  \l "_Toc407098399" </w:instrText>
      </w:r>
      <w:r>
        <w:fldChar w:fldCharType="separate"/>
      </w:r>
      <w:r>
        <w:rPr>
          <w:rStyle w:val="12"/>
          <w:rFonts w:ascii="仿宋_GB2312" w:eastAsia="仿宋_GB2312"/>
        </w:rPr>
        <w:t>2.</w:t>
      </w:r>
      <w:r>
        <w:rPr>
          <w:rFonts w:ascii="Calibri" w:hAnsi="Calibri" w:eastAsia="宋体"/>
          <w:sz w:val="21"/>
        </w:rPr>
        <w:tab/>
      </w:r>
      <w:r>
        <w:rPr>
          <w:rStyle w:val="12"/>
          <w:rFonts w:hint="eastAsia" w:ascii="仿宋_GB2312" w:eastAsia="仿宋_GB2312"/>
        </w:rPr>
        <w:t>定义</w:t>
      </w:r>
      <w:r>
        <w:tab/>
      </w:r>
      <w:r>
        <w:fldChar w:fldCharType="begin"/>
      </w:r>
      <w:r>
        <w:instrText xml:space="preserve"> PAGEREF _Toc407098399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8"/>
        <w:tabs>
          <w:tab w:val="left" w:pos="1050"/>
          <w:tab w:val="right" w:leader="dot" w:pos="8296"/>
        </w:tabs>
        <w:ind w:firstLine="480"/>
        <w:rPr>
          <w:rFonts w:ascii="Calibri" w:hAnsi="Calibri" w:eastAsia="宋体"/>
          <w:sz w:val="21"/>
        </w:rPr>
      </w:pPr>
      <w:r>
        <w:fldChar w:fldCharType="begin"/>
      </w:r>
      <w:r>
        <w:instrText xml:space="preserve">HYPERLINK  \l "_Toc407098400" </w:instrText>
      </w:r>
      <w:r>
        <w:fldChar w:fldCharType="separate"/>
      </w:r>
      <w:r>
        <w:rPr>
          <w:rStyle w:val="12"/>
          <w:rFonts w:ascii="仿宋_GB2312" w:eastAsia="仿宋_GB2312"/>
        </w:rPr>
        <w:t>3.</w:t>
      </w:r>
      <w:r>
        <w:rPr>
          <w:rFonts w:ascii="Calibri" w:hAnsi="Calibri" w:eastAsia="宋体"/>
          <w:sz w:val="21"/>
        </w:rPr>
        <w:tab/>
      </w:r>
      <w:r>
        <w:rPr>
          <w:rStyle w:val="12"/>
          <w:rFonts w:hint="eastAsia" w:ascii="仿宋_GB2312" w:eastAsia="仿宋_GB2312"/>
        </w:rPr>
        <w:t>原则要求及责任</w:t>
      </w:r>
      <w:r>
        <w:tab/>
      </w:r>
      <w:r>
        <w:fldChar w:fldCharType="begin"/>
      </w:r>
      <w:r>
        <w:instrText xml:space="preserve"> PAGEREF _Toc407098400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8"/>
        <w:tabs>
          <w:tab w:val="left" w:pos="1050"/>
          <w:tab w:val="right" w:leader="dot" w:pos="8296"/>
        </w:tabs>
        <w:ind w:firstLine="480"/>
        <w:rPr>
          <w:rFonts w:ascii="Calibri" w:hAnsi="Calibri" w:eastAsia="宋体"/>
          <w:sz w:val="21"/>
        </w:rPr>
      </w:pPr>
      <w:r>
        <w:fldChar w:fldCharType="begin"/>
      </w:r>
      <w:r>
        <w:instrText xml:space="preserve">HYPERLINK  \l "_Toc407098401" </w:instrText>
      </w:r>
      <w:r>
        <w:fldChar w:fldCharType="separate"/>
      </w:r>
      <w:r>
        <w:rPr>
          <w:rStyle w:val="12"/>
          <w:rFonts w:ascii="仿宋_GB2312" w:eastAsia="仿宋_GB2312"/>
        </w:rPr>
        <w:t>4.</w:t>
      </w:r>
      <w:r>
        <w:rPr>
          <w:rFonts w:ascii="Calibri" w:hAnsi="Calibri" w:eastAsia="宋体"/>
          <w:sz w:val="21"/>
        </w:rPr>
        <w:tab/>
      </w:r>
      <w:r>
        <w:rPr>
          <w:rStyle w:val="12"/>
          <w:rFonts w:hint="eastAsia" w:ascii="仿宋_GB2312" w:eastAsia="仿宋_GB2312"/>
        </w:rPr>
        <w:t>设计标准和规范</w:t>
      </w:r>
      <w:r>
        <w:tab/>
      </w:r>
      <w:r>
        <w:fldChar w:fldCharType="begin"/>
      </w:r>
      <w:r>
        <w:instrText xml:space="preserve"> PAGEREF _Toc407098401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8"/>
        <w:tabs>
          <w:tab w:val="left" w:pos="1050"/>
          <w:tab w:val="right" w:leader="dot" w:pos="8296"/>
        </w:tabs>
        <w:ind w:firstLine="480"/>
        <w:rPr>
          <w:rFonts w:ascii="Calibri" w:hAnsi="Calibri" w:eastAsia="宋体"/>
          <w:sz w:val="21"/>
        </w:rPr>
      </w:pPr>
      <w:r>
        <w:fldChar w:fldCharType="begin"/>
      </w:r>
      <w:r>
        <w:instrText xml:space="preserve">HYPERLINK  \l "_Toc407098402" </w:instrText>
      </w:r>
      <w:r>
        <w:fldChar w:fldCharType="separate"/>
      </w:r>
      <w:r>
        <w:rPr>
          <w:rStyle w:val="12"/>
          <w:rFonts w:ascii="仿宋_GB2312" w:eastAsia="仿宋_GB2312"/>
        </w:rPr>
        <w:t>5.</w:t>
      </w:r>
      <w:r>
        <w:rPr>
          <w:rFonts w:ascii="Calibri" w:hAnsi="Calibri" w:eastAsia="宋体"/>
          <w:sz w:val="21"/>
        </w:rPr>
        <w:tab/>
      </w:r>
      <w:r>
        <w:rPr>
          <w:rStyle w:val="12"/>
          <w:rFonts w:hint="eastAsia" w:ascii="仿宋_GB2312" w:eastAsia="仿宋_GB2312"/>
        </w:rPr>
        <w:t>基础数据</w:t>
      </w:r>
      <w:r>
        <w:tab/>
      </w:r>
      <w:r>
        <w:fldChar w:fldCharType="begin"/>
      </w:r>
      <w:r>
        <w:instrText xml:space="preserve"> PAGEREF _Toc407098402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8"/>
        <w:tabs>
          <w:tab w:val="left" w:pos="1050"/>
          <w:tab w:val="right" w:leader="dot" w:pos="8296"/>
        </w:tabs>
        <w:ind w:firstLine="480"/>
        <w:rPr>
          <w:rFonts w:ascii="Calibri" w:hAnsi="Calibri" w:eastAsia="宋体"/>
          <w:sz w:val="21"/>
        </w:rPr>
      </w:pPr>
      <w:r>
        <w:fldChar w:fldCharType="begin"/>
      </w:r>
      <w:r>
        <w:instrText xml:space="preserve">HYPERLINK  \l "_Toc407098403" </w:instrText>
      </w:r>
      <w:r>
        <w:fldChar w:fldCharType="separate"/>
      </w:r>
      <w:r>
        <w:rPr>
          <w:rStyle w:val="12"/>
          <w:rFonts w:ascii="仿宋_GB2312" w:eastAsia="仿宋_GB2312"/>
        </w:rPr>
        <w:t>6.</w:t>
      </w:r>
      <w:r>
        <w:rPr>
          <w:rFonts w:ascii="Calibri" w:hAnsi="Calibri" w:eastAsia="宋体"/>
          <w:sz w:val="21"/>
        </w:rPr>
        <w:tab/>
      </w:r>
      <w:r>
        <w:rPr>
          <w:rStyle w:val="12"/>
          <w:rFonts w:hint="eastAsia" w:ascii="仿宋_GB2312" w:eastAsia="仿宋_GB2312"/>
        </w:rPr>
        <w:t>技术参数要求</w:t>
      </w:r>
      <w:r>
        <w:tab/>
      </w:r>
      <w:r>
        <w:fldChar w:fldCharType="begin"/>
      </w:r>
      <w:r>
        <w:instrText xml:space="preserve"> PAGEREF _Toc407098403 \h 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>
      <w:pPr>
        <w:pStyle w:val="9"/>
        <w:tabs>
          <w:tab w:val="right" w:leader="dot" w:pos="8296"/>
        </w:tabs>
        <w:ind w:left="480" w:firstLine="480"/>
        <w:rPr>
          <w:rFonts w:ascii="仿宋_GB2312" w:hAnsi="Calibri" w:eastAsia="仿宋_GB2312"/>
          <w:sz w:val="21"/>
        </w:rPr>
      </w:pPr>
      <w:r>
        <w:fldChar w:fldCharType="begin"/>
      </w:r>
      <w:r>
        <w:instrText xml:space="preserve">HYPERLINK  \l "_Toc407098404" </w:instrText>
      </w:r>
      <w:r>
        <w:fldChar w:fldCharType="separate"/>
      </w:r>
      <w:r>
        <w:rPr>
          <w:rStyle w:val="12"/>
          <w:rFonts w:hint="eastAsia" w:ascii="仿宋_GB2312" w:eastAsia="仿宋_GB2312"/>
        </w:rPr>
        <w:t>6.1柴油驱动消防水泵</w:t>
      </w:r>
      <w:r>
        <w:rPr>
          <w:rFonts w:hint="eastAsia" w:ascii="仿宋_GB2312" w:eastAsia="仿宋_GB2312"/>
        </w:rPr>
        <w:tab/>
      </w:r>
      <w:r>
        <w:rPr>
          <w:rFonts w:hint="eastAsia" w:ascii="仿宋_GB2312" w:eastAsia="仿宋_GB2312"/>
        </w:rPr>
        <w:fldChar w:fldCharType="begin"/>
      </w:r>
      <w:r>
        <w:rPr>
          <w:rFonts w:hint="eastAsia" w:ascii="仿宋_GB2312" w:eastAsia="仿宋_GB2312"/>
        </w:rPr>
        <w:instrText xml:space="preserve"> PAGEREF _Toc407098404 \h </w:instrText>
      </w:r>
      <w:r>
        <w:rPr>
          <w:rFonts w:hint="eastAsia" w:ascii="仿宋_GB2312" w:eastAsia="仿宋_GB2312"/>
        </w:rPr>
        <w:fldChar w:fldCharType="separate"/>
      </w:r>
      <w:r>
        <w:rPr>
          <w:rFonts w:hint="eastAsia" w:ascii="仿宋_GB2312" w:eastAsia="仿宋_GB2312"/>
        </w:rPr>
        <w:t>4</w:t>
      </w:r>
      <w:r>
        <w:rPr>
          <w:rFonts w:hint="eastAsia" w:ascii="仿宋_GB2312" w:eastAsia="仿宋_GB2312"/>
        </w:rPr>
        <w:fldChar w:fldCharType="end"/>
      </w:r>
      <w:r>
        <w:fldChar w:fldCharType="end"/>
      </w:r>
    </w:p>
    <w:p>
      <w:pPr>
        <w:pStyle w:val="9"/>
        <w:tabs>
          <w:tab w:val="right" w:leader="dot" w:pos="8296"/>
        </w:tabs>
        <w:ind w:left="480" w:firstLine="480"/>
        <w:rPr>
          <w:rFonts w:ascii="仿宋_GB2312" w:hAnsi="Calibri" w:eastAsia="仿宋_GB2312"/>
          <w:sz w:val="21"/>
        </w:rPr>
      </w:pPr>
      <w:r>
        <w:fldChar w:fldCharType="begin"/>
      </w:r>
      <w:r>
        <w:instrText xml:space="preserve">HYPERLINK  \l "_Toc407098405" </w:instrText>
      </w:r>
      <w:r>
        <w:fldChar w:fldCharType="separate"/>
      </w:r>
      <w:r>
        <w:rPr>
          <w:rStyle w:val="12"/>
          <w:rFonts w:hint="eastAsia" w:ascii="仿宋_GB2312" w:eastAsia="仿宋_GB2312"/>
        </w:rPr>
        <w:t>6.2电力驱动消防泵</w:t>
      </w:r>
      <w:r>
        <w:rPr>
          <w:rFonts w:hint="eastAsia" w:ascii="仿宋_GB2312" w:eastAsia="仿宋_GB2312"/>
        </w:rPr>
        <w:tab/>
      </w:r>
      <w:r>
        <w:rPr>
          <w:rFonts w:hint="eastAsia" w:ascii="仿宋_GB2312" w:eastAsia="仿宋_GB2312"/>
        </w:rPr>
        <w:fldChar w:fldCharType="begin"/>
      </w:r>
      <w:r>
        <w:rPr>
          <w:rFonts w:hint="eastAsia" w:ascii="仿宋_GB2312" w:eastAsia="仿宋_GB2312"/>
        </w:rPr>
        <w:instrText xml:space="preserve"> PAGEREF _Toc407098405 \h </w:instrText>
      </w:r>
      <w:r>
        <w:rPr>
          <w:rFonts w:hint="eastAsia" w:ascii="仿宋_GB2312" w:eastAsia="仿宋_GB2312"/>
        </w:rPr>
        <w:fldChar w:fldCharType="separate"/>
      </w:r>
      <w:r>
        <w:rPr>
          <w:rFonts w:hint="eastAsia" w:ascii="仿宋_GB2312" w:eastAsia="仿宋_GB2312"/>
        </w:rPr>
        <w:t>4</w:t>
      </w:r>
      <w:r>
        <w:rPr>
          <w:rFonts w:hint="eastAsia" w:ascii="仿宋_GB2312" w:eastAsia="仿宋_GB2312"/>
        </w:rPr>
        <w:fldChar w:fldCharType="end"/>
      </w:r>
      <w:r>
        <w:fldChar w:fldCharType="end"/>
      </w:r>
    </w:p>
    <w:p>
      <w:pPr>
        <w:pStyle w:val="9"/>
        <w:tabs>
          <w:tab w:val="right" w:leader="dot" w:pos="8296"/>
        </w:tabs>
        <w:ind w:left="480" w:firstLine="480"/>
        <w:rPr>
          <w:rFonts w:ascii="仿宋_GB2312" w:hAnsi="Calibri" w:eastAsia="仿宋_GB2312"/>
          <w:sz w:val="21"/>
        </w:rPr>
      </w:pPr>
      <w:r>
        <w:fldChar w:fldCharType="begin"/>
      </w:r>
      <w:r>
        <w:instrText xml:space="preserve">HYPERLINK  \l "_Toc407098406" </w:instrText>
      </w:r>
      <w:r>
        <w:fldChar w:fldCharType="separate"/>
      </w:r>
      <w:r>
        <w:rPr>
          <w:rStyle w:val="12"/>
          <w:rFonts w:hint="eastAsia" w:ascii="仿宋_GB2312" w:eastAsia="仿宋_GB2312"/>
        </w:rPr>
        <w:t>6.3电动潜水离心泵（污水提升泵站）</w:t>
      </w:r>
      <w:r>
        <w:rPr>
          <w:rFonts w:hint="eastAsia" w:ascii="仿宋_GB2312" w:eastAsia="仿宋_GB2312"/>
        </w:rPr>
        <w:tab/>
      </w:r>
      <w:r>
        <w:rPr>
          <w:rFonts w:hint="eastAsia" w:ascii="仿宋_GB2312" w:eastAsia="仿宋_GB2312"/>
        </w:rPr>
        <w:fldChar w:fldCharType="begin"/>
      </w:r>
      <w:r>
        <w:rPr>
          <w:rFonts w:hint="eastAsia" w:ascii="仿宋_GB2312" w:eastAsia="仿宋_GB2312"/>
        </w:rPr>
        <w:instrText xml:space="preserve"> PAGEREF _Toc407098406 \h </w:instrText>
      </w:r>
      <w:r>
        <w:rPr>
          <w:rFonts w:hint="eastAsia" w:ascii="仿宋_GB2312" w:eastAsia="仿宋_GB2312"/>
        </w:rPr>
        <w:fldChar w:fldCharType="separate"/>
      </w:r>
      <w:r>
        <w:rPr>
          <w:rFonts w:hint="eastAsia" w:ascii="仿宋_GB2312" w:eastAsia="仿宋_GB2312"/>
        </w:rPr>
        <w:t>5</w:t>
      </w:r>
      <w:r>
        <w:rPr>
          <w:rFonts w:hint="eastAsia" w:ascii="仿宋_GB2312" w:eastAsia="仿宋_GB2312"/>
        </w:rPr>
        <w:fldChar w:fldCharType="end"/>
      </w:r>
      <w:r>
        <w:fldChar w:fldCharType="end"/>
      </w:r>
    </w:p>
    <w:p>
      <w:pPr>
        <w:pStyle w:val="9"/>
        <w:tabs>
          <w:tab w:val="right" w:leader="dot" w:pos="8296"/>
        </w:tabs>
        <w:ind w:left="480" w:firstLine="480"/>
        <w:rPr>
          <w:rFonts w:ascii="仿宋_GB2312" w:hAnsi="Calibri" w:eastAsia="仿宋_GB2312"/>
          <w:sz w:val="21"/>
        </w:rPr>
      </w:pPr>
      <w:r>
        <w:fldChar w:fldCharType="begin"/>
      </w:r>
      <w:r>
        <w:instrText xml:space="preserve">HYPERLINK  \l "_Toc407098407" </w:instrText>
      </w:r>
      <w:r>
        <w:fldChar w:fldCharType="separate"/>
      </w:r>
      <w:r>
        <w:rPr>
          <w:rStyle w:val="12"/>
          <w:rFonts w:hint="eastAsia" w:ascii="仿宋_GB2312" w:eastAsia="仿宋_GB2312"/>
        </w:rPr>
        <w:t>6.4电动潜水离心泵（调节池、中间水池）</w:t>
      </w:r>
      <w:r>
        <w:rPr>
          <w:rFonts w:hint="eastAsia" w:ascii="仿宋_GB2312" w:eastAsia="仿宋_GB2312"/>
        </w:rPr>
        <w:tab/>
      </w:r>
      <w:r>
        <w:rPr>
          <w:rFonts w:hint="eastAsia" w:ascii="仿宋_GB2312" w:eastAsia="仿宋_GB2312"/>
        </w:rPr>
        <w:fldChar w:fldCharType="begin"/>
      </w:r>
      <w:r>
        <w:rPr>
          <w:rFonts w:hint="eastAsia" w:ascii="仿宋_GB2312" w:eastAsia="仿宋_GB2312"/>
        </w:rPr>
        <w:instrText xml:space="preserve"> PAGEREF _Toc407098407 \h </w:instrText>
      </w:r>
      <w:r>
        <w:rPr>
          <w:rFonts w:hint="eastAsia" w:ascii="仿宋_GB2312" w:eastAsia="仿宋_GB2312"/>
        </w:rPr>
        <w:fldChar w:fldCharType="separate"/>
      </w:r>
      <w:r>
        <w:rPr>
          <w:rFonts w:hint="eastAsia" w:ascii="仿宋_GB2312" w:eastAsia="仿宋_GB2312"/>
        </w:rPr>
        <w:t>5</w:t>
      </w:r>
      <w:r>
        <w:rPr>
          <w:rFonts w:hint="eastAsia" w:ascii="仿宋_GB2312" w:eastAsia="仿宋_GB2312"/>
        </w:rPr>
        <w:fldChar w:fldCharType="end"/>
      </w:r>
      <w:r>
        <w:fldChar w:fldCharType="end"/>
      </w:r>
    </w:p>
    <w:p>
      <w:pPr>
        <w:pStyle w:val="9"/>
        <w:tabs>
          <w:tab w:val="right" w:leader="dot" w:pos="8296"/>
        </w:tabs>
        <w:ind w:left="480" w:firstLine="480"/>
        <w:rPr>
          <w:rFonts w:ascii="仿宋_GB2312" w:hAnsi="Calibri" w:eastAsia="仿宋_GB2312"/>
          <w:sz w:val="21"/>
        </w:rPr>
      </w:pPr>
      <w:r>
        <w:fldChar w:fldCharType="begin"/>
      </w:r>
      <w:r>
        <w:instrText xml:space="preserve">HYPERLINK  \l "_Toc407098408" </w:instrText>
      </w:r>
      <w:r>
        <w:fldChar w:fldCharType="separate"/>
      </w:r>
      <w:r>
        <w:rPr>
          <w:rStyle w:val="12"/>
          <w:rFonts w:hint="eastAsia" w:ascii="仿宋_GB2312" w:eastAsia="仿宋_GB2312"/>
        </w:rPr>
        <w:t>6.5电动潜水离心泵（污水处理站中间水池）</w:t>
      </w:r>
      <w:r>
        <w:rPr>
          <w:rFonts w:hint="eastAsia" w:ascii="仿宋_GB2312" w:eastAsia="仿宋_GB2312"/>
        </w:rPr>
        <w:tab/>
      </w:r>
      <w:r>
        <w:rPr>
          <w:rFonts w:hint="eastAsia" w:ascii="仿宋_GB2312" w:eastAsia="仿宋_GB2312"/>
        </w:rPr>
        <w:fldChar w:fldCharType="begin"/>
      </w:r>
      <w:r>
        <w:rPr>
          <w:rFonts w:hint="eastAsia" w:ascii="仿宋_GB2312" w:eastAsia="仿宋_GB2312"/>
        </w:rPr>
        <w:instrText xml:space="preserve"> PAGEREF _Toc407098408 \h </w:instrText>
      </w:r>
      <w:r>
        <w:rPr>
          <w:rFonts w:hint="eastAsia" w:ascii="仿宋_GB2312" w:eastAsia="仿宋_GB2312"/>
        </w:rPr>
        <w:fldChar w:fldCharType="separate"/>
      </w:r>
      <w:r>
        <w:rPr>
          <w:rFonts w:hint="eastAsia" w:ascii="仿宋_GB2312" w:eastAsia="仿宋_GB2312"/>
        </w:rPr>
        <w:t>6</w:t>
      </w:r>
      <w:r>
        <w:rPr>
          <w:rFonts w:hint="eastAsia" w:ascii="仿宋_GB2312" w:eastAsia="仿宋_GB2312"/>
        </w:rPr>
        <w:fldChar w:fldCharType="end"/>
      </w:r>
      <w:r>
        <w:fldChar w:fldCharType="end"/>
      </w:r>
    </w:p>
    <w:p>
      <w:pPr>
        <w:pStyle w:val="8"/>
        <w:tabs>
          <w:tab w:val="left" w:pos="1050"/>
          <w:tab w:val="right" w:leader="dot" w:pos="8296"/>
        </w:tabs>
        <w:ind w:firstLine="480"/>
        <w:rPr>
          <w:rFonts w:ascii="Calibri" w:hAnsi="Calibri" w:eastAsia="宋体"/>
          <w:sz w:val="21"/>
        </w:rPr>
      </w:pPr>
      <w:r>
        <w:fldChar w:fldCharType="begin"/>
      </w:r>
      <w:r>
        <w:instrText xml:space="preserve">HYPERLINK  \l "_Toc407098409" </w:instrText>
      </w:r>
      <w:r>
        <w:fldChar w:fldCharType="separate"/>
      </w:r>
      <w:r>
        <w:rPr>
          <w:rStyle w:val="12"/>
          <w:rFonts w:ascii="仿宋_GB2312" w:eastAsia="仿宋_GB2312"/>
        </w:rPr>
        <w:t>7.</w:t>
      </w:r>
      <w:r>
        <w:rPr>
          <w:rFonts w:ascii="Calibri" w:hAnsi="Calibri" w:eastAsia="宋体"/>
          <w:sz w:val="21"/>
        </w:rPr>
        <w:tab/>
      </w:r>
      <w:r>
        <w:rPr>
          <w:rStyle w:val="12"/>
          <w:rFonts w:hint="eastAsia" w:ascii="仿宋_GB2312" w:eastAsia="仿宋_GB2312"/>
        </w:rPr>
        <w:t>技术资料提供</w:t>
      </w:r>
      <w:r>
        <w:tab/>
      </w:r>
      <w:r>
        <w:fldChar w:fldCharType="begin"/>
      </w:r>
      <w:r>
        <w:instrText xml:space="preserve"> PAGEREF _Toc407098409 \h </w:instrText>
      </w:r>
      <w:r>
        <w:fldChar w:fldCharType="separate"/>
      </w:r>
      <w:r>
        <w:t>7</w:t>
      </w:r>
      <w:r>
        <w:fldChar w:fldCharType="end"/>
      </w:r>
      <w:r>
        <w:fldChar w:fldCharType="end"/>
      </w:r>
    </w:p>
    <w:p>
      <w:pPr>
        <w:pStyle w:val="8"/>
        <w:tabs>
          <w:tab w:val="left" w:pos="1050"/>
          <w:tab w:val="right" w:leader="dot" w:pos="8296"/>
        </w:tabs>
        <w:ind w:firstLine="480"/>
        <w:rPr>
          <w:rFonts w:ascii="Calibri" w:hAnsi="Calibri" w:eastAsia="宋体"/>
          <w:sz w:val="21"/>
        </w:rPr>
      </w:pPr>
      <w:r>
        <w:fldChar w:fldCharType="begin"/>
      </w:r>
      <w:r>
        <w:instrText xml:space="preserve">HYPERLINK  \l "_Toc407098410" </w:instrText>
      </w:r>
      <w:r>
        <w:fldChar w:fldCharType="separate"/>
      </w:r>
      <w:r>
        <w:rPr>
          <w:rStyle w:val="12"/>
          <w:rFonts w:ascii="仿宋_GB2312" w:eastAsia="仿宋_GB2312"/>
        </w:rPr>
        <w:t>8.</w:t>
      </w:r>
      <w:r>
        <w:rPr>
          <w:rFonts w:ascii="Calibri" w:hAnsi="Calibri" w:eastAsia="宋体"/>
          <w:sz w:val="21"/>
        </w:rPr>
        <w:tab/>
      </w:r>
      <w:r>
        <w:rPr>
          <w:rStyle w:val="12"/>
          <w:rFonts w:hint="eastAsia" w:ascii="仿宋_GB2312" w:eastAsia="仿宋_GB2312"/>
        </w:rPr>
        <w:t>技术服务</w:t>
      </w:r>
      <w:r>
        <w:tab/>
      </w:r>
      <w:r>
        <w:fldChar w:fldCharType="begin"/>
      </w:r>
      <w:r>
        <w:instrText xml:space="preserve"> PAGEREF _Toc407098410 \h </w:instrText>
      </w:r>
      <w:r>
        <w:fldChar w:fldCharType="separate"/>
      </w:r>
      <w:r>
        <w:t>7</w:t>
      </w:r>
      <w:r>
        <w:fldChar w:fldCharType="end"/>
      </w:r>
      <w:r>
        <w:fldChar w:fldCharType="end"/>
      </w:r>
    </w:p>
    <w:p>
      <w:pPr>
        <w:pStyle w:val="8"/>
        <w:tabs>
          <w:tab w:val="left" w:pos="1050"/>
          <w:tab w:val="right" w:leader="dot" w:pos="8296"/>
        </w:tabs>
        <w:ind w:firstLine="480"/>
        <w:rPr>
          <w:rFonts w:ascii="Calibri" w:hAnsi="Calibri" w:eastAsia="宋体"/>
          <w:sz w:val="21"/>
        </w:rPr>
      </w:pPr>
      <w:r>
        <w:fldChar w:fldCharType="begin"/>
      </w:r>
      <w:r>
        <w:instrText xml:space="preserve">HYPERLINK  \l "_Toc407098411" </w:instrText>
      </w:r>
      <w:r>
        <w:fldChar w:fldCharType="separate"/>
      </w:r>
      <w:r>
        <w:rPr>
          <w:rStyle w:val="12"/>
          <w:rFonts w:ascii="仿宋_GB2312" w:eastAsia="仿宋_GB2312"/>
        </w:rPr>
        <w:t>9.</w:t>
      </w:r>
      <w:r>
        <w:rPr>
          <w:rFonts w:ascii="Calibri" w:hAnsi="Calibri" w:eastAsia="宋体"/>
          <w:sz w:val="21"/>
        </w:rPr>
        <w:tab/>
      </w:r>
      <w:r>
        <w:rPr>
          <w:rStyle w:val="12"/>
          <w:rFonts w:hint="eastAsia" w:ascii="仿宋_GB2312" w:eastAsia="仿宋_GB2312"/>
        </w:rPr>
        <w:t>质量保证</w:t>
      </w:r>
      <w:r>
        <w:tab/>
      </w:r>
      <w:r>
        <w:fldChar w:fldCharType="begin"/>
      </w:r>
      <w:r>
        <w:instrText xml:space="preserve"> PAGEREF _Toc407098411 \h </w:instrText>
      </w:r>
      <w:r>
        <w:fldChar w:fldCharType="separate"/>
      </w:r>
      <w:r>
        <w:t>7</w:t>
      </w:r>
      <w:r>
        <w:fldChar w:fldCharType="end"/>
      </w:r>
      <w:r>
        <w:fldChar w:fldCharType="end"/>
      </w:r>
    </w:p>
    <w:p>
      <w:pPr>
        <w:pStyle w:val="8"/>
        <w:tabs>
          <w:tab w:val="left" w:pos="1260"/>
          <w:tab w:val="right" w:leader="dot" w:pos="8296"/>
        </w:tabs>
        <w:ind w:firstLine="480"/>
        <w:rPr>
          <w:rFonts w:ascii="Calibri" w:hAnsi="Calibri" w:eastAsia="宋体"/>
          <w:sz w:val="21"/>
        </w:rPr>
      </w:pPr>
      <w:r>
        <w:fldChar w:fldCharType="begin"/>
      </w:r>
      <w:r>
        <w:instrText xml:space="preserve">HYPERLINK  \l "_Toc407098412" </w:instrText>
      </w:r>
      <w:r>
        <w:fldChar w:fldCharType="separate"/>
      </w:r>
      <w:r>
        <w:rPr>
          <w:rStyle w:val="12"/>
          <w:rFonts w:ascii="仿宋_GB2312" w:eastAsia="仿宋_GB2312"/>
        </w:rPr>
        <w:t>10.</w:t>
      </w:r>
      <w:r>
        <w:rPr>
          <w:rFonts w:ascii="Calibri" w:hAnsi="Calibri" w:eastAsia="宋体"/>
          <w:sz w:val="21"/>
        </w:rPr>
        <w:tab/>
      </w:r>
      <w:r>
        <w:rPr>
          <w:rStyle w:val="12"/>
          <w:rFonts w:hint="eastAsia" w:ascii="仿宋_GB2312" w:eastAsia="仿宋_GB2312"/>
        </w:rPr>
        <w:t>检验及测试</w:t>
      </w:r>
      <w:r>
        <w:tab/>
      </w:r>
      <w:r>
        <w:fldChar w:fldCharType="begin"/>
      </w:r>
      <w:r>
        <w:instrText xml:space="preserve"> PAGEREF _Toc407098412 \h </w:instrText>
      </w:r>
      <w:r>
        <w:fldChar w:fldCharType="separate"/>
      </w:r>
      <w:r>
        <w:t>8</w:t>
      </w:r>
      <w:r>
        <w:fldChar w:fldCharType="end"/>
      </w:r>
      <w:r>
        <w:fldChar w:fldCharType="end"/>
      </w:r>
    </w:p>
    <w:p>
      <w:pPr>
        <w:pStyle w:val="8"/>
        <w:tabs>
          <w:tab w:val="left" w:pos="1260"/>
          <w:tab w:val="right" w:leader="dot" w:pos="8296"/>
        </w:tabs>
        <w:ind w:firstLine="480"/>
        <w:rPr>
          <w:rFonts w:ascii="Calibri" w:hAnsi="Calibri" w:eastAsia="宋体"/>
          <w:sz w:val="21"/>
        </w:rPr>
      </w:pPr>
      <w:r>
        <w:fldChar w:fldCharType="begin"/>
      </w:r>
      <w:r>
        <w:instrText xml:space="preserve">HYPERLINK  \l "_Toc407098413" </w:instrText>
      </w:r>
      <w:r>
        <w:fldChar w:fldCharType="separate"/>
      </w:r>
      <w:r>
        <w:rPr>
          <w:rStyle w:val="12"/>
          <w:rFonts w:ascii="仿宋_GB2312" w:eastAsia="仿宋_GB2312"/>
        </w:rPr>
        <w:t>11.</w:t>
      </w:r>
      <w:r>
        <w:rPr>
          <w:rFonts w:ascii="Calibri" w:hAnsi="Calibri" w:eastAsia="宋体"/>
          <w:sz w:val="21"/>
        </w:rPr>
        <w:tab/>
      </w:r>
      <w:r>
        <w:rPr>
          <w:rStyle w:val="12"/>
          <w:rFonts w:hint="eastAsia" w:ascii="仿宋_GB2312" w:eastAsia="仿宋_GB2312"/>
        </w:rPr>
        <w:t>供货周期</w:t>
      </w:r>
      <w:r>
        <w:tab/>
      </w:r>
      <w:r>
        <w:fldChar w:fldCharType="begin"/>
      </w:r>
      <w:r>
        <w:instrText xml:space="preserve"> PAGEREF _Toc407098413 \h </w:instrText>
      </w:r>
      <w:r>
        <w:fldChar w:fldCharType="separate"/>
      </w:r>
      <w:r>
        <w:t>8</w:t>
      </w:r>
      <w:r>
        <w:fldChar w:fldCharType="end"/>
      </w:r>
      <w:r>
        <w:fldChar w:fldCharType="end"/>
      </w:r>
    </w:p>
    <w:p>
      <w:pPr>
        <w:pStyle w:val="8"/>
        <w:tabs>
          <w:tab w:val="left" w:pos="1260"/>
          <w:tab w:val="right" w:leader="dot" w:pos="8296"/>
        </w:tabs>
        <w:ind w:firstLine="480"/>
        <w:rPr>
          <w:rFonts w:ascii="Calibri" w:hAnsi="Calibri" w:eastAsia="宋体"/>
          <w:sz w:val="21"/>
        </w:rPr>
      </w:pPr>
      <w:r>
        <w:fldChar w:fldCharType="begin"/>
      </w:r>
      <w:r>
        <w:instrText xml:space="preserve">HYPERLINK  \l "_Toc407098414" </w:instrText>
      </w:r>
      <w:r>
        <w:fldChar w:fldCharType="separate"/>
      </w:r>
      <w:r>
        <w:rPr>
          <w:rStyle w:val="12"/>
          <w:rFonts w:ascii="仿宋_GB2312" w:eastAsia="仿宋_GB2312"/>
        </w:rPr>
        <w:t>12.</w:t>
      </w:r>
      <w:r>
        <w:rPr>
          <w:rFonts w:ascii="Calibri" w:hAnsi="Calibri" w:eastAsia="宋体"/>
          <w:sz w:val="21"/>
        </w:rPr>
        <w:tab/>
      </w:r>
      <w:r>
        <w:rPr>
          <w:rStyle w:val="12"/>
          <w:rFonts w:hint="eastAsia" w:ascii="仿宋_GB2312" w:eastAsia="仿宋_GB2312"/>
        </w:rPr>
        <w:t>设备运输</w:t>
      </w:r>
      <w:r>
        <w:tab/>
      </w:r>
      <w:r>
        <w:fldChar w:fldCharType="begin"/>
      </w:r>
      <w:r>
        <w:instrText xml:space="preserve"> PAGEREF _Toc407098414 \h </w:instrText>
      </w:r>
      <w:r>
        <w:fldChar w:fldCharType="separate"/>
      </w:r>
      <w:r>
        <w:t>9</w:t>
      </w:r>
      <w:r>
        <w:fldChar w:fldCharType="end"/>
      </w:r>
      <w:r>
        <w:fldChar w:fldCharType="end"/>
      </w:r>
    </w:p>
    <w:p>
      <w:pPr>
        <w:spacing w:line="240" w:lineRule="auto"/>
        <w:ind w:firstLine="0" w:firstLineChars="0"/>
        <w:jc w:val="center"/>
        <w:rPr>
          <w:rFonts w:ascii="仿宋_GB2312" w:eastAsia="仿宋_GB2312" w:cs="Times New Roman"/>
          <w:b/>
          <w:sz w:val="32"/>
          <w:szCs w:val="32"/>
        </w:rPr>
      </w:pPr>
      <w:r>
        <w:rPr>
          <w:rFonts w:hint="eastAsia" w:ascii="仿宋_GB2312" w:eastAsia="仿宋_GB2312" w:cs="Times New Roman"/>
          <w:b/>
          <w:sz w:val="32"/>
          <w:szCs w:val="32"/>
        </w:rPr>
        <w:fldChar w:fldCharType="end"/>
      </w:r>
      <w:r>
        <w:rPr>
          <w:rFonts w:hint="eastAsia" w:ascii="仿宋_GB2312" w:eastAsia="仿宋_GB2312" w:cs="Times New Roman"/>
          <w:b/>
          <w:sz w:val="32"/>
          <w:szCs w:val="32"/>
        </w:rPr>
        <w:br w:type="page"/>
      </w:r>
    </w:p>
    <w:p>
      <w:pPr>
        <w:pStyle w:val="2"/>
        <w:numPr>
          <w:ilvl w:val="0"/>
          <w:numId w:val="2"/>
        </w:numPr>
        <w:rPr>
          <w:rFonts w:ascii="仿宋_GB2312" w:eastAsia="仿宋_GB2312"/>
        </w:rPr>
      </w:pPr>
      <w:bookmarkStart w:id="0" w:name="_Toc407098398"/>
      <w:r>
        <w:rPr>
          <w:rFonts w:hint="eastAsia" w:ascii="仿宋_GB2312" w:eastAsia="仿宋_GB2312"/>
        </w:rPr>
        <w:t>范围</w:t>
      </w:r>
      <w:bookmarkEnd w:id="0"/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本技术规格书适用于</w:t>
      </w:r>
      <w:r>
        <w:rPr>
          <w:rFonts w:hint="eastAsia" w:ascii="仿宋_GB2312" w:hAnsi="Calibri" w:eastAsia="仿宋_GB2312" w:cs="Calibri"/>
        </w:rPr>
        <w:t>伊拉克米桑油田主营地</w:t>
      </w:r>
      <w:r>
        <w:rPr>
          <w:rFonts w:hint="eastAsia" w:ascii="仿宋_GB2312" w:eastAsia="仿宋_GB2312"/>
        </w:rPr>
        <w:t>水泵设备的采购，提出了其适用文件、技术参数、设备要求、质量保证、技术文件、装运和安装等方面的最低技术要求。</w:t>
      </w:r>
    </w:p>
    <w:p>
      <w:pPr>
        <w:pStyle w:val="2"/>
        <w:numPr>
          <w:ilvl w:val="0"/>
          <w:numId w:val="2"/>
        </w:numPr>
        <w:rPr>
          <w:rFonts w:ascii="仿宋_GB2312" w:eastAsia="仿宋_GB2312"/>
        </w:rPr>
      </w:pPr>
      <w:bookmarkStart w:id="1" w:name="_Toc407098399"/>
      <w:r>
        <w:rPr>
          <w:rFonts w:hint="eastAsia" w:ascii="仿宋_GB2312" w:eastAsia="仿宋_GB2312"/>
        </w:rPr>
        <w:t>定义</w:t>
      </w:r>
      <w:bookmarkEnd w:id="1"/>
    </w:p>
    <w:p>
      <w:pPr>
        <w:pStyle w:val="14"/>
        <w:numPr>
          <w:ilvl w:val="0"/>
          <w:numId w:val="3"/>
        </w:numPr>
        <w:ind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 xml:space="preserve">“货物”系指供应商根据合同规定须向业主提供的一切设备及其附属设施、机械、备品备件、消耗性材料、专用工具和测试设备，以及满足合同设备组装、检验、培训、调试、性能测试、正常运行及维修等所必须的手册、技术文件、图纸和资料。  </w:t>
      </w:r>
    </w:p>
    <w:p>
      <w:pPr>
        <w:pStyle w:val="14"/>
        <w:numPr>
          <w:ilvl w:val="0"/>
          <w:numId w:val="3"/>
        </w:numPr>
        <w:ind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 xml:space="preserve">“服务”系指根据合同规定供应商承担与供货有关的辅助服务，如调试、提供技术援助、培训和合同中规定供应商应承担的其它义务。  </w:t>
      </w:r>
    </w:p>
    <w:p>
      <w:pPr>
        <w:pStyle w:val="14"/>
        <w:numPr>
          <w:ilvl w:val="0"/>
          <w:numId w:val="3"/>
        </w:numPr>
        <w:ind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 xml:space="preserve"> “业主”指接受合同中货物及服务的单位。 </w:t>
      </w:r>
    </w:p>
    <w:p>
      <w:pPr>
        <w:pStyle w:val="14"/>
        <w:numPr>
          <w:ilvl w:val="0"/>
          <w:numId w:val="3"/>
        </w:numPr>
        <w:ind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 xml:space="preserve"> “供应商”指为本合同提供货物和服务的公司或实体。 </w:t>
      </w:r>
    </w:p>
    <w:p>
      <w:pPr>
        <w:pStyle w:val="14"/>
        <w:numPr>
          <w:ilvl w:val="0"/>
          <w:numId w:val="3"/>
        </w:numPr>
        <w:ind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 xml:space="preserve"> “现场”指将要进行设备安装和运转的地点（伊拉克）。</w:t>
      </w:r>
    </w:p>
    <w:p>
      <w:pPr>
        <w:pStyle w:val="2"/>
        <w:numPr>
          <w:ilvl w:val="0"/>
          <w:numId w:val="2"/>
        </w:numPr>
        <w:rPr>
          <w:rFonts w:ascii="仿宋_GB2312" w:eastAsia="仿宋_GB2312"/>
        </w:rPr>
      </w:pPr>
      <w:bookmarkStart w:id="2" w:name="_Toc407098400"/>
      <w:r>
        <w:rPr>
          <w:rFonts w:hint="eastAsia" w:ascii="仿宋_GB2312" w:eastAsia="仿宋_GB2312"/>
        </w:rPr>
        <w:t>原则要求及责任</w:t>
      </w:r>
      <w:bookmarkEnd w:id="2"/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供应商应对本规格书规定的设计、材料、制造、检验、试验、清洗和</w:t>
      </w:r>
      <w:r>
        <w:rPr>
          <w:rFonts w:hint="eastAsia" w:ascii="仿宋_GB2312" w:eastAsia="仿宋_GB2312"/>
          <w:color w:val="FF0000"/>
        </w:rPr>
        <w:t>装运</w:t>
      </w:r>
      <w:r>
        <w:rPr>
          <w:rFonts w:hint="eastAsia" w:ascii="仿宋_GB2312" w:eastAsia="仿宋_GB2312"/>
        </w:rPr>
        <w:t>等项目全面负责；各阶段结果须取得购买方的同意。任何计算、图纸、试验和技术文件虽然经业主批准，也不减轻供应商对合同应负的责任。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本技术规格书中的要求，系购买方提出的最低限度技术要求。本技术规格书并未对一切技术细节做出规定，也未充分引述有关标准和规范的条文。因此，供应商除应满足本技术规格书的要求以外，还应满足相关国家及行业的现行标准及相关规定。此外，必须执行国家有关安全、环保等强制性标准。</w:t>
      </w:r>
    </w:p>
    <w:p>
      <w:pPr>
        <w:pStyle w:val="2"/>
        <w:numPr>
          <w:ilvl w:val="0"/>
          <w:numId w:val="2"/>
        </w:numPr>
        <w:rPr>
          <w:rFonts w:ascii="仿宋_GB2312" w:eastAsia="仿宋_GB2312"/>
        </w:rPr>
      </w:pPr>
      <w:bookmarkStart w:id="3" w:name="_Toc407098401"/>
      <w:r>
        <w:rPr>
          <w:rFonts w:hint="eastAsia" w:ascii="仿宋_GB2312" w:eastAsia="仿宋_GB2312"/>
        </w:rPr>
        <w:t>设计标准和规范</w:t>
      </w:r>
      <w:bookmarkEnd w:id="3"/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供应商须达到或超过下列法规和标准的最新版本的要求，在一个以上的法规或标准适用于在同等条件的情况下，按照最严格的规定执行。在本说明书及其他对应规范之间有冲突时，在工作开始前应以书面文件形式咨询澄清。基准的规范和标准如下：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JB/T6880.2-1993 泵用铸件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JB/T6912-1993 泵产品零件无损检测磁粉探伤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JB/T6913-1993 泵产品清洁度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JB/T8097-1999 泵的振动测量与评价方法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JB/T8098-1999 泵的噪声测量与评价方法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JB/T8543.2-1997 泵产品零件无损检测渗透检测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GB/T5657-1995 离心泵技术条件（Ⅲ类）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GB/T13007-1991 离心泵效率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JB/T4297-1992 泵产品涂漆技术条件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GB/T17241.6-2008整体铸铁法兰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除上述标准外，其他部件的规格和材料应与本项目的设备的材料保持一致，如果与上述的标准规范有冲突的地方，供应商应提出书面解决方案，如有必要，可与设计方、业主共同协商解决。</w:t>
      </w:r>
    </w:p>
    <w:p>
      <w:pPr>
        <w:pStyle w:val="2"/>
        <w:numPr>
          <w:ilvl w:val="0"/>
          <w:numId w:val="2"/>
        </w:numPr>
        <w:rPr>
          <w:rFonts w:ascii="仿宋_GB2312" w:eastAsia="仿宋_GB2312"/>
        </w:rPr>
      </w:pPr>
      <w:bookmarkStart w:id="4" w:name="_Toc407098402"/>
      <w:r>
        <w:rPr>
          <w:rFonts w:hint="eastAsia" w:ascii="仿宋_GB2312" w:eastAsia="仿宋_GB2312"/>
        </w:rPr>
        <w:t>基础数据</w:t>
      </w:r>
      <w:bookmarkEnd w:id="4"/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所有设备和设施的气候条件见下表。</w:t>
      </w:r>
    </w:p>
    <w:tbl>
      <w:tblPr>
        <w:tblStyle w:val="13"/>
        <w:tblW w:w="601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0"/>
        <w:gridCol w:w="1259"/>
        <w:gridCol w:w="185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00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</w:rPr>
              <w:t>海拔</w:t>
            </w:r>
          </w:p>
        </w:tc>
        <w:tc>
          <w:tcPr>
            <w:tcW w:w="12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</w:rPr>
              <w:t>M</w:t>
            </w:r>
          </w:p>
        </w:tc>
        <w:tc>
          <w:tcPr>
            <w:tcW w:w="18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  <w:t>4</w:t>
            </w: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</w:rPr>
              <w:t>米左右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00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</w:rPr>
              <w:t>大气压力</w:t>
            </w:r>
          </w:p>
        </w:tc>
        <w:tc>
          <w:tcPr>
            <w:tcW w:w="12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  <w:t>KPa</w:t>
            </w:r>
          </w:p>
        </w:tc>
        <w:tc>
          <w:tcPr>
            <w:tcW w:w="18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  <w:t>102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00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</w:rPr>
              <w:t>最高温度</w:t>
            </w:r>
          </w:p>
        </w:tc>
        <w:tc>
          <w:tcPr>
            <w:tcW w:w="12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  <w:t>℃</w:t>
            </w:r>
          </w:p>
        </w:tc>
        <w:tc>
          <w:tcPr>
            <w:tcW w:w="18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  <w:t>55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</w:tblPrEx>
        <w:trPr>
          <w:jc w:val="center"/>
        </w:trPr>
        <w:tc>
          <w:tcPr>
            <w:tcW w:w="2900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</w:rPr>
              <w:t>黑球温度（体感温度）</w:t>
            </w:r>
          </w:p>
        </w:tc>
        <w:tc>
          <w:tcPr>
            <w:tcW w:w="12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  <w:t>℃</w:t>
            </w:r>
          </w:p>
        </w:tc>
        <w:tc>
          <w:tcPr>
            <w:tcW w:w="18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  <w:t>80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00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</w:rPr>
              <w:t>最低温度</w:t>
            </w:r>
          </w:p>
        </w:tc>
        <w:tc>
          <w:tcPr>
            <w:tcW w:w="12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  <w:t>℃</w:t>
            </w:r>
          </w:p>
        </w:tc>
        <w:tc>
          <w:tcPr>
            <w:tcW w:w="18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  <w:t>-2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00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</w:rPr>
              <w:t>最高风速</w:t>
            </w:r>
          </w:p>
        </w:tc>
        <w:tc>
          <w:tcPr>
            <w:tcW w:w="12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  <w:t>m/s</w:t>
            </w:r>
          </w:p>
        </w:tc>
        <w:tc>
          <w:tcPr>
            <w:tcW w:w="18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  <w:t>40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00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</w:rPr>
              <w:t>季风方向</w:t>
            </w:r>
          </w:p>
        </w:tc>
        <w:tc>
          <w:tcPr>
            <w:tcW w:w="12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</w:rPr>
              <w:t>冬季</w:t>
            </w:r>
          </w:p>
        </w:tc>
        <w:tc>
          <w:tcPr>
            <w:tcW w:w="18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  <w:t>NW-SW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00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</w:rPr>
              <w:t>季风方向</w:t>
            </w:r>
          </w:p>
        </w:tc>
        <w:tc>
          <w:tcPr>
            <w:tcW w:w="12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</w:rPr>
              <w:t>夏季</w:t>
            </w:r>
          </w:p>
        </w:tc>
        <w:tc>
          <w:tcPr>
            <w:tcW w:w="18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  <w:t>NW-SW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00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</w:rPr>
              <w:t>最大相对湿度</w:t>
            </w:r>
          </w:p>
        </w:tc>
        <w:tc>
          <w:tcPr>
            <w:tcW w:w="12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8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  <w:t>80%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00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</w:rPr>
              <w:t>最小相对湿度</w:t>
            </w:r>
          </w:p>
        </w:tc>
        <w:tc>
          <w:tcPr>
            <w:tcW w:w="12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8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  <w:t>25%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00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</w:rPr>
              <w:t>降雨量</w:t>
            </w:r>
          </w:p>
        </w:tc>
        <w:tc>
          <w:tcPr>
            <w:tcW w:w="12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  <w:t>mm/a</w:t>
            </w:r>
          </w:p>
        </w:tc>
        <w:tc>
          <w:tcPr>
            <w:tcW w:w="18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  <w:t>177.4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00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</w:rPr>
              <w:t>土壤温度（深度1.2-1.6m）</w:t>
            </w:r>
          </w:p>
        </w:tc>
        <w:tc>
          <w:tcPr>
            <w:tcW w:w="12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  <w:t>℃</w:t>
            </w:r>
          </w:p>
        </w:tc>
        <w:tc>
          <w:tcPr>
            <w:tcW w:w="18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  <w:t xml:space="preserve">15 </w:t>
            </w: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</w:rPr>
              <w:t>冬天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00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</w:rPr>
              <w:t>地震带</w:t>
            </w:r>
          </w:p>
        </w:tc>
        <w:tc>
          <w:tcPr>
            <w:tcW w:w="12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</w:pPr>
          </w:p>
        </w:tc>
        <w:tc>
          <w:tcPr>
            <w:tcW w:w="18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  <w:t>2B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00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</w:rPr>
              <w:t>蒸发率</w:t>
            </w:r>
          </w:p>
        </w:tc>
        <w:tc>
          <w:tcPr>
            <w:tcW w:w="12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  <w:t>mm/a</w:t>
            </w:r>
          </w:p>
        </w:tc>
        <w:tc>
          <w:tcPr>
            <w:tcW w:w="1859" w:type="dxa"/>
            <w:vAlign w:val="center"/>
          </w:tcPr>
          <w:p>
            <w:pPr>
              <w:pStyle w:val="15"/>
              <w:ind w:firstLine="0" w:firstLineChars="0"/>
              <w:jc w:val="center"/>
              <w:rPr>
                <w:rFonts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</w:pPr>
            <w:r>
              <w:rPr>
                <w:rFonts w:hint="eastAsia" w:ascii="仿宋_GB2312" w:hAnsi="Arial" w:eastAsia="仿宋_GB2312" w:cs="Arial"/>
                <w:color w:val="auto"/>
                <w:kern w:val="0"/>
                <w:sz w:val="22"/>
                <w:szCs w:val="22"/>
                <w:lang w:eastAsia="en-US"/>
              </w:rPr>
              <w:t>3054.4</w:t>
            </w:r>
          </w:p>
        </w:tc>
      </w:tr>
    </w:tbl>
    <w:p>
      <w:pPr>
        <w:pStyle w:val="2"/>
        <w:numPr>
          <w:ilvl w:val="0"/>
          <w:numId w:val="2"/>
        </w:numPr>
        <w:rPr>
          <w:rFonts w:ascii="仿宋_GB2312" w:eastAsia="仿宋_GB2312"/>
        </w:rPr>
      </w:pPr>
      <w:bookmarkStart w:id="5" w:name="_Toc407098403"/>
      <w:r>
        <w:rPr>
          <w:rFonts w:hint="eastAsia" w:ascii="仿宋_GB2312" w:eastAsia="仿宋_GB2312"/>
        </w:rPr>
        <w:t>技术参数要求</w:t>
      </w:r>
      <w:bookmarkEnd w:id="5"/>
    </w:p>
    <w:p>
      <w:pPr>
        <w:pStyle w:val="3"/>
        <w:numPr>
          <w:ilvl w:val="0"/>
          <w:numId w:val="0"/>
        </w:numPr>
      </w:pPr>
      <w:bookmarkStart w:id="6" w:name="_Toc406508438"/>
      <w:bookmarkStart w:id="7" w:name="_Toc407098404"/>
      <w:r>
        <w:rPr>
          <w:rFonts w:hint="eastAsia"/>
        </w:rPr>
        <w:t>6.1柴油驱动消防水泵</w:t>
      </w:r>
      <w:bookmarkEnd w:id="6"/>
      <w:bookmarkEnd w:id="7"/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1.柴油驱动离心泵，1台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2.水泵参数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 xml:space="preserve"> Q= 288 m</w:t>
      </w:r>
      <w:r>
        <w:rPr>
          <w:rFonts w:hint="eastAsia" w:ascii="仿宋_GB2312" w:eastAsia="仿宋_GB2312"/>
          <w:vertAlign w:val="superscript"/>
        </w:rPr>
        <w:t>3</w:t>
      </w:r>
      <w:r>
        <w:rPr>
          <w:rFonts w:hint="eastAsia" w:ascii="仿宋_GB2312" w:eastAsia="仿宋_GB2312"/>
        </w:rPr>
        <w:t>/h</w:t>
      </w:r>
      <w:r>
        <w:rPr>
          <w:rFonts w:hint="eastAsia" w:ascii="仿宋_GB2312" w:eastAsia="仿宋_GB2312"/>
        </w:rPr>
        <w:tab/>
      </w:r>
      <w:r>
        <w:rPr>
          <w:rFonts w:hint="eastAsia" w:ascii="仿宋_GB2312" w:eastAsia="仿宋_GB2312"/>
        </w:rPr>
        <w:t xml:space="preserve">  H=70m  P=  kw   1台  水泵效率大于82%（水泵功率由厂家进行选配）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3.配套柴油机功率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根据厂家标准进行选配。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4.配套柴油机效率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配套柴油机根据厂家标准进行选配。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5.水泵运行噪音要求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水泵运行噪音小于85dBA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6.泵体、泵盖，机械密封要求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泵体与泵盖采用</w:t>
      </w:r>
      <w:r>
        <w:rPr>
          <w:rFonts w:hint="eastAsia"/>
        </w:rPr>
        <w:t>HT200</w:t>
      </w:r>
      <w:r>
        <w:rPr>
          <w:rFonts w:hint="eastAsia" w:ascii="仿宋_GB2312" w:eastAsia="仿宋_GB2312"/>
        </w:rPr>
        <w:t>材料 ，轴采用</w:t>
      </w:r>
      <w:r>
        <w:rPr>
          <w:rFonts w:hint="eastAsia"/>
        </w:rPr>
        <w:t>45#钢</w:t>
      </w:r>
      <w:r>
        <w:rPr>
          <w:rFonts w:hint="eastAsia" w:ascii="仿宋_GB2312" w:eastAsia="仿宋_GB2312"/>
        </w:rPr>
        <w:t>材料</w:t>
      </w:r>
    </w:p>
    <w:p>
      <w:pPr>
        <w:ind w:firstLine="480"/>
        <w:rPr>
          <w:rFonts w:ascii="仿宋_GB2312" w:eastAsia="仿宋_GB2312"/>
        </w:rPr>
      </w:pPr>
      <w:r>
        <w:rPr>
          <w:rFonts w:ascii="仿宋_GB2312" w:eastAsia="仿宋_GB2312"/>
        </w:rPr>
        <w:t>机械密封</w:t>
      </w:r>
      <w:r>
        <w:rPr>
          <w:rFonts w:hint="eastAsia" w:ascii="仿宋_GB2312" w:eastAsia="仿宋_GB2312"/>
        </w:rPr>
        <w:t>采用硬质合金钢材料，磨损环采用</w:t>
      </w:r>
      <w:r>
        <w:rPr>
          <w:rFonts w:hint="eastAsia"/>
        </w:rPr>
        <w:t>HT200</w:t>
      </w:r>
      <w:r>
        <w:rPr>
          <w:rFonts w:hint="eastAsia" w:ascii="仿宋_GB2312" w:eastAsia="仿宋_GB2312"/>
        </w:rPr>
        <w:t>材料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7.轴承座要求</w:t>
      </w:r>
    </w:p>
    <w:p>
      <w:pPr>
        <w:ind w:firstLine="480"/>
        <w:rPr>
          <w:rFonts w:ascii="仿宋_GB2312" w:eastAsia="仿宋_GB2312"/>
        </w:rPr>
      </w:pPr>
      <w:r>
        <w:rPr>
          <w:rFonts w:ascii="仿宋_GB2312" w:eastAsia="仿宋_GB2312"/>
        </w:rPr>
        <w:t>轴承座为一体式，轴承寿命50000h以上</w:t>
      </w:r>
      <w:r>
        <w:rPr>
          <w:rFonts w:hint="eastAsia" w:ascii="仿宋_GB2312" w:eastAsia="仿宋_GB2312"/>
        </w:rPr>
        <w:t>。</w:t>
      </w:r>
    </w:p>
    <w:p>
      <w:pPr>
        <w:pStyle w:val="3"/>
        <w:numPr>
          <w:ilvl w:val="0"/>
          <w:numId w:val="0"/>
        </w:numPr>
        <w:ind w:left="420" w:hanging="420"/>
      </w:pPr>
      <w:bookmarkStart w:id="8" w:name="_Toc406508439"/>
      <w:bookmarkStart w:id="9" w:name="_Toc407098405"/>
      <w:r>
        <w:rPr>
          <w:rFonts w:hint="eastAsia"/>
        </w:rPr>
        <w:t>6.2电力驱动消防泵</w:t>
      </w:r>
      <w:bookmarkEnd w:id="8"/>
      <w:bookmarkEnd w:id="9"/>
    </w:p>
    <w:p>
      <w:pPr>
        <w:ind w:left="142" w:leftChars="59" w:firstLine="360" w:firstLineChars="150"/>
        <w:rPr>
          <w:rFonts w:ascii="仿宋_GB2312" w:eastAsia="仿宋_GB2312"/>
        </w:rPr>
      </w:pPr>
      <w:r>
        <w:rPr>
          <w:rFonts w:hint="eastAsia" w:ascii="仿宋_GB2312" w:eastAsia="仿宋_GB2312"/>
        </w:rPr>
        <w:t>1.电力驱动离心泵，1台</w:t>
      </w:r>
    </w:p>
    <w:p>
      <w:pPr>
        <w:ind w:firstLine="48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2.水泵参数（包括流量、扬程、功率、效率）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Q= 288m</w:t>
      </w:r>
      <w:r>
        <w:rPr>
          <w:rFonts w:hint="eastAsia" w:ascii="仿宋_GB2312" w:eastAsia="仿宋_GB2312"/>
          <w:vertAlign w:val="superscript"/>
        </w:rPr>
        <w:t>3</w:t>
      </w:r>
      <w:r>
        <w:rPr>
          <w:rFonts w:hint="eastAsia" w:ascii="仿宋_GB2312" w:eastAsia="仿宋_GB2312"/>
        </w:rPr>
        <w:t>/h</w:t>
      </w:r>
      <w:r>
        <w:rPr>
          <w:rFonts w:hint="eastAsia" w:ascii="仿宋_GB2312" w:eastAsia="仿宋_GB2312"/>
        </w:rPr>
        <w:tab/>
      </w:r>
      <w:r>
        <w:rPr>
          <w:rFonts w:hint="eastAsia" w:ascii="仿宋_GB2312" w:eastAsia="仿宋_GB2312"/>
        </w:rPr>
        <w:t xml:space="preserve">  H=70m  P=  kw   1台  水泵效率大于82%（水泵功率由厂家进行选配）</w:t>
      </w:r>
    </w:p>
    <w:p>
      <w:pPr>
        <w:ind w:firstLine="48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3.配套电机功率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根据厂家标准进行选配，</w:t>
      </w:r>
    </w:p>
    <w:p>
      <w:pPr>
        <w:ind w:firstLine="48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4.配套电机效率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配套电机效率大于90%，</w:t>
      </w:r>
    </w:p>
    <w:p>
      <w:pPr>
        <w:ind w:firstLine="48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5.水泵运行噪音要求</w:t>
      </w:r>
    </w:p>
    <w:p>
      <w:pPr>
        <w:ind w:firstLine="48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水泵运行噪音小于85dBA</w:t>
      </w:r>
    </w:p>
    <w:p>
      <w:pPr>
        <w:ind w:firstLine="48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6.泵体、泵盖，机械密封要求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泵体与泵盖采用</w:t>
      </w:r>
      <w:r>
        <w:rPr>
          <w:rFonts w:hint="eastAsia"/>
        </w:rPr>
        <w:t>HT200</w:t>
      </w:r>
      <w:r>
        <w:rPr>
          <w:rFonts w:hint="eastAsia" w:ascii="仿宋_GB2312" w:eastAsia="仿宋_GB2312"/>
        </w:rPr>
        <w:t>材料 ，轴采用</w:t>
      </w:r>
      <w:r>
        <w:rPr>
          <w:rFonts w:hint="eastAsia"/>
        </w:rPr>
        <w:t>45#钢</w:t>
      </w:r>
      <w:r>
        <w:rPr>
          <w:rFonts w:hint="eastAsia" w:ascii="仿宋_GB2312" w:eastAsia="仿宋_GB2312"/>
        </w:rPr>
        <w:t>材料</w:t>
      </w:r>
    </w:p>
    <w:p>
      <w:pPr>
        <w:ind w:firstLine="480"/>
        <w:rPr>
          <w:rFonts w:ascii="仿宋_GB2312" w:eastAsia="仿宋_GB2312"/>
        </w:rPr>
      </w:pPr>
      <w:r>
        <w:rPr>
          <w:rFonts w:ascii="仿宋_GB2312" w:eastAsia="仿宋_GB2312"/>
        </w:rPr>
        <w:t>机械密封</w:t>
      </w:r>
      <w:r>
        <w:rPr>
          <w:rFonts w:hint="eastAsia" w:ascii="仿宋_GB2312" w:eastAsia="仿宋_GB2312"/>
        </w:rPr>
        <w:t>采用硬质合金钢材料，磨损环采用</w:t>
      </w:r>
      <w:r>
        <w:rPr>
          <w:rFonts w:hint="eastAsia"/>
        </w:rPr>
        <w:t>HT200</w:t>
      </w:r>
      <w:r>
        <w:rPr>
          <w:rFonts w:hint="eastAsia" w:ascii="仿宋_GB2312" w:eastAsia="仿宋_GB2312"/>
        </w:rPr>
        <w:t>材料</w:t>
      </w:r>
    </w:p>
    <w:p>
      <w:pPr>
        <w:ind w:firstLine="48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7.轴承座要求</w:t>
      </w:r>
    </w:p>
    <w:p>
      <w:pPr>
        <w:ind w:firstLine="480"/>
        <w:rPr>
          <w:rFonts w:ascii="仿宋_GB2312" w:eastAsia="仿宋_GB2312"/>
        </w:rPr>
      </w:pPr>
      <w:r>
        <w:rPr>
          <w:rFonts w:ascii="仿宋_GB2312" w:eastAsia="仿宋_GB2312"/>
        </w:rPr>
        <w:t>轴承座为一体式，轴承寿命50000h以上</w:t>
      </w:r>
      <w:r>
        <w:rPr>
          <w:rFonts w:hint="eastAsia" w:ascii="仿宋_GB2312" w:eastAsia="仿宋_GB2312"/>
        </w:rPr>
        <w:t>。、</w:t>
      </w:r>
    </w:p>
    <w:p>
      <w:pPr>
        <w:ind w:firstLine="48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8.电机参数防护等级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电机参数防护等级不低于IP55，绝缘等级F级。</w:t>
      </w:r>
    </w:p>
    <w:p>
      <w:pPr>
        <w:pStyle w:val="3"/>
        <w:numPr>
          <w:ilvl w:val="0"/>
          <w:numId w:val="0"/>
        </w:numPr>
        <w:ind w:left="420" w:hanging="420"/>
      </w:pPr>
      <w:bookmarkStart w:id="10" w:name="_Toc407098407"/>
      <w:r>
        <w:rPr>
          <w:rFonts w:hint="eastAsia"/>
        </w:rPr>
        <w:t>6.4电动潜水离心泵（调节池、中间水池）</w:t>
      </w:r>
      <w:bookmarkEnd w:id="10"/>
    </w:p>
    <w:p>
      <w:pPr>
        <w:pStyle w:val="14"/>
        <w:ind w:left="562" w:firstLine="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1.电动潜水离心泵，3台</w:t>
      </w:r>
    </w:p>
    <w:p>
      <w:pPr>
        <w:pStyle w:val="14"/>
        <w:ind w:left="562" w:firstLine="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2.水泵参数（包括流量、扬程、功率、效率）（水泵功率由厂家进行选配）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Q= 25m</w:t>
      </w:r>
      <w:r>
        <w:rPr>
          <w:rFonts w:hint="eastAsia" w:ascii="仿宋_GB2312" w:eastAsia="仿宋_GB2312"/>
          <w:vertAlign w:val="superscript"/>
        </w:rPr>
        <w:t>3</w:t>
      </w:r>
      <w:r>
        <w:rPr>
          <w:rFonts w:hint="eastAsia" w:ascii="仿宋_GB2312" w:eastAsia="仿宋_GB2312"/>
        </w:rPr>
        <w:t>/h</w:t>
      </w:r>
      <w:r>
        <w:rPr>
          <w:rFonts w:hint="eastAsia" w:ascii="仿宋_GB2312" w:eastAsia="仿宋_GB2312"/>
        </w:rPr>
        <w:tab/>
      </w:r>
      <w:r>
        <w:rPr>
          <w:rFonts w:hint="eastAsia" w:ascii="仿宋_GB2312" w:eastAsia="仿宋_GB2312"/>
        </w:rPr>
        <w:t xml:space="preserve">  H=15m  P=  2.2kw   3台（调节池2台，一用一备；中间水池一台，冷备，供检修时抽干中间水池的污水用）  水泵效率大于71%</w:t>
      </w:r>
    </w:p>
    <w:p>
      <w:pPr>
        <w:pStyle w:val="14"/>
        <w:ind w:left="562" w:firstLine="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3.配套电机功率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根据厂家标准进行选配</w:t>
      </w:r>
    </w:p>
    <w:p>
      <w:pPr>
        <w:pStyle w:val="14"/>
        <w:ind w:left="562" w:firstLine="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4.配套电机效率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配套电机效率大于90%</w:t>
      </w:r>
    </w:p>
    <w:p>
      <w:pPr>
        <w:pStyle w:val="14"/>
        <w:ind w:left="562" w:firstLine="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5.水泵运行噪音要求</w:t>
      </w:r>
    </w:p>
    <w:p>
      <w:pPr>
        <w:ind w:firstLine="48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水泵运行噪音小于85dBA</w:t>
      </w:r>
    </w:p>
    <w:p>
      <w:pPr>
        <w:pStyle w:val="14"/>
        <w:ind w:left="562" w:firstLine="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6.泵体、泵盖，机械密封要求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泵体与泵盖采用</w:t>
      </w:r>
      <w:r>
        <w:rPr>
          <w:rFonts w:hint="eastAsia"/>
        </w:rPr>
        <w:t>HT200</w:t>
      </w:r>
      <w:r>
        <w:rPr>
          <w:rFonts w:hint="eastAsia" w:ascii="仿宋_GB2312" w:eastAsia="仿宋_GB2312"/>
        </w:rPr>
        <w:t>材料 ，轴采用</w:t>
      </w:r>
      <w:r>
        <w:rPr>
          <w:rFonts w:hint="eastAsia"/>
        </w:rPr>
        <w:t>45#钢</w:t>
      </w:r>
      <w:r>
        <w:rPr>
          <w:rFonts w:hint="eastAsia" w:ascii="仿宋_GB2312" w:eastAsia="仿宋_GB2312"/>
        </w:rPr>
        <w:t>材料</w:t>
      </w:r>
    </w:p>
    <w:p>
      <w:pPr>
        <w:ind w:firstLine="480"/>
        <w:rPr>
          <w:rFonts w:ascii="仿宋_GB2312" w:eastAsia="仿宋_GB2312"/>
        </w:rPr>
      </w:pPr>
      <w:r>
        <w:rPr>
          <w:rFonts w:ascii="仿宋_GB2312" w:eastAsia="仿宋_GB2312"/>
        </w:rPr>
        <w:t>机械密封</w:t>
      </w:r>
      <w:r>
        <w:rPr>
          <w:rFonts w:hint="eastAsia" w:ascii="仿宋_GB2312" w:eastAsia="仿宋_GB2312"/>
        </w:rPr>
        <w:t>采用硬质合金钢材料，磨损环采用</w:t>
      </w:r>
      <w:r>
        <w:rPr>
          <w:rFonts w:hint="eastAsia"/>
        </w:rPr>
        <w:t>HT200</w:t>
      </w:r>
      <w:r>
        <w:rPr>
          <w:rFonts w:hint="eastAsia" w:ascii="仿宋_GB2312" w:eastAsia="仿宋_GB2312"/>
        </w:rPr>
        <w:t>材料</w:t>
      </w:r>
    </w:p>
    <w:p>
      <w:pPr>
        <w:pStyle w:val="14"/>
        <w:ind w:left="562" w:firstLine="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7.轴承座要求</w:t>
      </w:r>
    </w:p>
    <w:p>
      <w:pPr>
        <w:pStyle w:val="14"/>
        <w:ind w:left="562" w:firstLine="0" w:firstLineChars="0"/>
        <w:rPr>
          <w:rFonts w:ascii="仿宋_GB2312" w:eastAsia="仿宋_GB2312"/>
        </w:rPr>
      </w:pPr>
      <w:r>
        <w:rPr>
          <w:rFonts w:ascii="仿宋_GB2312" w:eastAsia="仿宋_GB2312"/>
        </w:rPr>
        <w:t>轴承座为一体式，轴承寿命50000h以上</w:t>
      </w:r>
      <w:r>
        <w:rPr>
          <w:rFonts w:hint="eastAsia" w:ascii="仿宋_GB2312" w:eastAsia="仿宋_GB2312"/>
        </w:rPr>
        <w:t>。、</w:t>
      </w:r>
    </w:p>
    <w:p>
      <w:pPr>
        <w:pStyle w:val="14"/>
        <w:ind w:left="562" w:firstLine="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8.电机参数防护等级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电机参数防护等级不低于IP68，绝缘等级F级。</w:t>
      </w:r>
    </w:p>
    <w:p>
      <w:pPr>
        <w:pStyle w:val="3"/>
        <w:numPr>
          <w:ilvl w:val="0"/>
          <w:numId w:val="0"/>
        </w:numPr>
        <w:ind w:left="420" w:hanging="420"/>
      </w:pPr>
      <w:bookmarkStart w:id="11" w:name="_Toc407098408"/>
      <w:r>
        <w:rPr>
          <w:rFonts w:hint="eastAsia"/>
        </w:rPr>
        <w:t>6.5电动潜水离心泵（污水处理站中间水池）</w:t>
      </w:r>
      <w:bookmarkEnd w:id="11"/>
    </w:p>
    <w:p>
      <w:pPr>
        <w:pStyle w:val="14"/>
        <w:ind w:left="562" w:firstLine="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1.电动潜水离心泵，2台</w:t>
      </w:r>
    </w:p>
    <w:p>
      <w:pPr>
        <w:pStyle w:val="14"/>
        <w:ind w:left="562" w:firstLine="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2.水泵参数（包括流量、扬程、功率、效率）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Q= 50m</w:t>
      </w:r>
      <w:r>
        <w:rPr>
          <w:rFonts w:hint="eastAsia" w:ascii="仿宋_GB2312" w:eastAsia="仿宋_GB2312"/>
          <w:vertAlign w:val="superscript"/>
        </w:rPr>
        <w:t>3</w:t>
      </w:r>
      <w:r>
        <w:rPr>
          <w:rFonts w:hint="eastAsia" w:ascii="仿宋_GB2312" w:eastAsia="仿宋_GB2312"/>
        </w:rPr>
        <w:t>/h</w:t>
      </w:r>
      <w:r>
        <w:rPr>
          <w:rFonts w:hint="eastAsia" w:ascii="仿宋_GB2312" w:eastAsia="仿宋_GB2312"/>
        </w:rPr>
        <w:tab/>
      </w:r>
      <w:r>
        <w:rPr>
          <w:rFonts w:hint="eastAsia" w:ascii="仿宋_GB2312" w:eastAsia="仿宋_GB2312"/>
        </w:rPr>
        <w:t xml:space="preserve">  H=35m  P=11kw  2台，一用一备（带自耦装置，过滤时25m</w:t>
      </w:r>
      <w:r>
        <w:rPr>
          <w:rFonts w:hint="eastAsia" w:ascii="仿宋_GB2312" w:eastAsia="仿宋_GB2312"/>
          <w:vertAlign w:val="superscript"/>
        </w:rPr>
        <w:t>3</w:t>
      </w:r>
      <w:r>
        <w:rPr>
          <w:rFonts w:hint="eastAsia" w:ascii="仿宋_GB2312" w:eastAsia="仿宋_GB2312"/>
        </w:rPr>
        <w:t>/h，反冲洗时50m</w:t>
      </w:r>
      <w:r>
        <w:rPr>
          <w:rFonts w:hint="eastAsia" w:ascii="仿宋_GB2312" w:eastAsia="仿宋_GB2312"/>
          <w:vertAlign w:val="superscript"/>
        </w:rPr>
        <w:t>3</w:t>
      </w:r>
      <w:r>
        <w:rPr>
          <w:rFonts w:hint="eastAsia" w:ascii="仿宋_GB2312" w:eastAsia="仿宋_GB2312"/>
        </w:rPr>
        <w:t>/h）水泵效率大于75%</w:t>
      </w:r>
    </w:p>
    <w:p>
      <w:pPr>
        <w:pStyle w:val="14"/>
        <w:ind w:left="562" w:firstLine="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3.配套电机功率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根据厂家标准进行选配</w:t>
      </w:r>
    </w:p>
    <w:p>
      <w:pPr>
        <w:pStyle w:val="14"/>
        <w:ind w:left="562" w:firstLine="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4.配套电机效率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配套电机效率大于90%</w:t>
      </w:r>
    </w:p>
    <w:p>
      <w:pPr>
        <w:pStyle w:val="14"/>
        <w:ind w:left="562" w:firstLine="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5.水泵运行噪音要求</w:t>
      </w:r>
    </w:p>
    <w:p>
      <w:pPr>
        <w:ind w:firstLine="48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水泵运行噪音小于85dBA</w:t>
      </w:r>
    </w:p>
    <w:p>
      <w:pPr>
        <w:pStyle w:val="14"/>
        <w:ind w:left="562" w:firstLine="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6.泵体、泵盖，机械密封要求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泵体与泵盖采用</w:t>
      </w:r>
      <w:r>
        <w:rPr>
          <w:rFonts w:hint="eastAsia"/>
        </w:rPr>
        <w:t>HT200</w:t>
      </w:r>
      <w:r>
        <w:rPr>
          <w:rFonts w:hint="eastAsia" w:ascii="仿宋_GB2312" w:eastAsia="仿宋_GB2312"/>
        </w:rPr>
        <w:t>材料 ，轴采用</w:t>
      </w:r>
      <w:r>
        <w:rPr>
          <w:rFonts w:hint="eastAsia"/>
        </w:rPr>
        <w:t>45#钢</w:t>
      </w:r>
      <w:r>
        <w:rPr>
          <w:rFonts w:hint="eastAsia" w:ascii="仿宋_GB2312" w:eastAsia="仿宋_GB2312"/>
        </w:rPr>
        <w:t>材料</w:t>
      </w:r>
    </w:p>
    <w:p>
      <w:pPr>
        <w:ind w:firstLine="480"/>
        <w:rPr>
          <w:rFonts w:ascii="仿宋_GB2312" w:eastAsia="仿宋_GB2312"/>
        </w:rPr>
      </w:pPr>
      <w:r>
        <w:rPr>
          <w:rFonts w:ascii="仿宋_GB2312" w:eastAsia="仿宋_GB2312"/>
        </w:rPr>
        <w:t>机械密封</w:t>
      </w:r>
      <w:r>
        <w:rPr>
          <w:rFonts w:hint="eastAsia" w:ascii="仿宋_GB2312" w:eastAsia="仿宋_GB2312"/>
        </w:rPr>
        <w:t>采用硬质合金钢材料，磨损环采用</w:t>
      </w:r>
      <w:r>
        <w:rPr>
          <w:rFonts w:hint="eastAsia"/>
        </w:rPr>
        <w:t>HT200</w:t>
      </w:r>
      <w:r>
        <w:rPr>
          <w:rFonts w:hint="eastAsia" w:ascii="仿宋_GB2312" w:eastAsia="仿宋_GB2312"/>
        </w:rPr>
        <w:t>材料</w:t>
      </w:r>
    </w:p>
    <w:p>
      <w:pPr>
        <w:pStyle w:val="14"/>
        <w:ind w:left="562" w:firstLine="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7.轴承座要求</w:t>
      </w:r>
    </w:p>
    <w:p>
      <w:pPr>
        <w:pStyle w:val="14"/>
        <w:ind w:left="562" w:firstLine="0" w:firstLineChars="0"/>
        <w:rPr>
          <w:rFonts w:ascii="仿宋_GB2312" w:eastAsia="仿宋_GB2312"/>
        </w:rPr>
      </w:pPr>
      <w:r>
        <w:rPr>
          <w:rFonts w:ascii="仿宋_GB2312" w:eastAsia="仿宋_GB2312"/>
        </w:rPr>
        <w:t>轴承座为一体式，轴承寿命50000h以上</w:t>
      </w:r>
      <w:r>
        <w:rPr>
          <w:rFonts w:hint="eastAsia" w:ascii="仿宋_GB2312" w:eastAsia="仿宋_GB2312"/>
        </w:rPr>
        <w:t>。、</w:t>
      </w:r>
    </w:p>
    <w:p>
      <w:pPr>
        <w:pStyle w:val="14"/>
        <w:ind w:left="562" w:firstLine="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8.电机参数防护等级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电机参数防护等级不低于IP68，绝缘等级F级。</w:t>
      </w:r>
    </w:p>
    <w:p>
      <w:pPr>
        <w:ind w:firstLine="480"/>
        <w:rPr>
          <w:rFonts w:ascii="仿宋_GB2312" w:eastAsia="仿宋_GB2312"/>
          <w:b/>
        </w:rPr>
      </w:pPr>
      <w:r>
        <w:rPr>
          <w:rFonts w:hint="eastAsia" w:ascii="仿宋_GB2312" w:eastAsia="仿宋_GB2312"/>
          <w:b/>
        </w:rPr>
        <w:t>上述4台潜水离心泵（冷备的泵除外）需配套液位计控制使用，当水位低于0.7米报警，水位低于0.8米时自动停泵，水位1.2米时自动启动水泵，水位1.7米时报警并启用另外一台备用泵。</w:t>
      </w:r>
    </w:p>
    <w:p>
      <w:pPr>
        <w:pStyle w:val="2"/>
        <w:numPr>
          <w:ilvl w:val="0"/>
          <w:numId w:val="2"/>
        </w:numPr>
        <w:rPr>
          <w:rFonts w:ascii="仿宋_GB2312" w:eastAsia="仿宋_GB2312"/>
        </w:rPr>
      </w:pPr>
      <w:bookmarkStart w:id="12" w:name="_Toc407098409"/>
      <w:r>
        <w:rPr>
          <w:rFonts w:hint="eastAsia" w:ascii="仿宋_GB2312" w:eastAsia="仿宋_GB2312"/>
        </w:rPr>
        <w:t>技术资料提供</w:t>
      </w:r>
      <w:bookmarkEnd w:id="12"/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承制方应提供以下技术资料：</w:t>
      </w:r>
    </w:p>
    <w:p>
      <w:pPr>
        <w:pStyle w:val="14"/>
        <w:numPr>
          <w:ilvl w:val="0"/>
          <w:numId w:val="4"/>
        </w:numPr>
        <w:ind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完整的产品资料以及各类和各证明书及合格证1份，</w:t>
      </w:r>
    </w:p>
    <w:p>
      <w:pPr>
        <w:pStyle w:val="14"/>
        <w:numPr>
          <w:ilvl w:val="0"/>
          <w:numId w:val="4"/>
        </w:numPr>
        <w:ind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产品安装（包含基础图）使用维护说明书3套，</w:t>
      </w:r>
    </w:p>
    <w:p>
      <w:pPr>
        <w:pStyle w:val="14"/>
        <w:numPr>
          <w:ilvl w:val="0"/>
          <w:numId w:val="4"/>
        </w:numPr>
        <w:ind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设备验收报告等文件3份。</w:t>
      </w:r>
    </w:p>
    <w:p>
      <w:pPr>
        <w:pStyle w:val="14"/>
        <w:numPr>
          <w:ilvl w:val="0"/>
          <w:numId w:val="4"/>
        </w:numPr>
        <w:ind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设备仪表移交使用单位的附件清单1份。</w:t>
      </w:r>
    </w:p>
    <w:p>
      <w:pPr>
        <w:pStyle w:val="2"/>
        <w:numPr>
          <w:ilvl w:val="0"/>
          <w:numId w:val="2"/>
        </w:numPr>
        <w:rPr>
          <w:rFonts w:ascii="仿宋_GB2312" w:eastAsia="仿宋_GB2312"/>
        </w:rPr>
      </w:pPr>
      <w:bookmarkStart w:id="13" w:name="_Toc407098410"/>
      <w:r>
        <w:rPr>
          <w:rFonts w:hint="eastAsia" w:ascii="仿宋_GB2312" w:eastAsia="仿宋_GB2312"/>
        </w:rPr>
        <w:t>技术服务</w:t>
      </w:r>
      <w:bookmarkEnd w:id="13"/>
    </w:p>
    <w:p>
      <w:pPr>
        <w:pStyle w:val="14"/>
        <w:numPr>
          <w:ilvl w:val="0"/>
          <w:numId w:val="5"/>
        </w:numPr>
        <w:ind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供应商提供服务应专业、及时和有效，所有服务均为原厂商进行操作，产品质量保证期5年。供应商派技术人员在买方现场负责设备的安装、调试与检验，自备必要工具。</w:t>
      </w:r>
    </w:p>
    <w:p>
      <w:pPr>
        <w:pStyle w:val="14"/>
        <w:numPr>
          <w:ilvl w:val="0"/>
          <w:numId w:val="6"/>
        </w:numPr>
        <w:ind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供应商负责提供所有必要的培训材料包括任何视频；供应商应提供,如果有必要,去现场对操作员进行培训，这些培训项目的成本和时间另行确认报价。</w:t>
      </w:r>
    </w:p>
    <w:p>
      <w:pPr>
        <w:pStyle w:val="14"/>
        <w:numPr>
          <w:ilvl w:val="0"/>
          <w:numId w:val="6"/>
        </w:numPr>
        <w:ind w:firstLineChars="0"/>
        <w:rPr>
          <w:rFonts w:ascii="仿宋_GB2312" w:eastAsia="仿宋_GB2312"/>
        </w:rPr>
      </w:pPr>
      <w:r>
        <w:rPr>
          <w:rFonts w:hint="eastAsia" w:ascii="仿宋_GB2312" w:hAnsi="ˎ̥" w:eastAsia="仿宋_GB2312"/>
          <w:color w:val="000000"/>
          <w:szCs w:val="18"/>
        </w:rPr>
        <w:t>保修期满后，要求能终身提供广泛优惠的技术支持和备件供应。在接到用户服务请求后，要求24小时内响应，15个工作日内到达现场排除故障。</w:t>
      </w:r>
    </w:p>
    <w:p>
      <w:pPr>
        <w:pStyle w:val="2"/>
        <w:numPr>
          <w:ilvl w:val="0"/>
          <w:numId w:val="2"/>
        </w:numPr>
        <w:rPr>
          <w:rFonts w:ascii="仿宋_GB2312" w:eastAsia="仿宋_GB2312"/>
        </w:rPr>
      </w:pPr>
      <w:bookmarkStart w:id="14" w:name="_Toc407098411"/>
      <w:r>
        <w:rPr>
          <w:rFonts w:hint="eastAsia" w:ascii="仿宋_GB2312" w:eastAsia="仿宋_GB2312"/>
        </w:rPr>
        <w:t>质量保证</w:t>
      </w:r>
      <w:bookmarkEnd w:id="14"/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供应商须维护和使用基于ISO 9001质量体系来控制工作。如果供应商选择分包工作的一部分,应当确保其他分包商或供应商能证明他们操作基于ISO 9001和ISO 9002质量体系。选择的分包商应根据公司批准的供应商。如有必要，卖方须给他的分包商或供应商协助达到所需的标准。业主有权审核供应商的质量体系。</w:t>
      </w:r>
    </w:p>
    <w:p>
      <w:pPr>
        <w:ind w:firstLine="480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供应商须安排足够的时间和质保人员到项目,确保质量控制系统完善,质量控制应保持在订单采购的整个持续时间。供应商的质量保证/控制系统应当成为任何购买订单不可分割的一部分，供应商应与业主组织审查会议。</w:t>
      </w:r>
    </w:p>
    <w:p>
      <w:pPr>
        <w:pStyle w:val="2"/>
        <w:numPr>
          <w:ilvl w:val="0"/>
          <w:numId w:val="2"/>
        </w:numPr>
        <w:rPr>
          <w:rFonts w:ascii="仿宋_GB2312" w:eastAsia="仿宋_GB2312"/>
        </w:rPr>
      </w:pPr>
      <w:bookmarkStart w:id="15" w:name="_Toc407098412"/>
      <w:r>
        <w:rPr>
          <w:rFonts w:hint="eastAsia" w:ascii="仿宋_GB2312" w:eastAsia="仿宋_GB2312"/>
        </w:rPr>
        <w:t>检验及测试</w:t>
      </w:r>
      <w:bookmarkEnd w:id="15"/>
    </w:p>
    <w:p>
      <w:pPr>
        <w:pStyle w:val="14"/>
        <w:numPr>
          <w:ilvl w:val="0"/>
          <w:numId w:val="7"/>
        </w:numPr>
        <w:ind w:left="142" w:firstLine="338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供应商应做好材料的检验。确保供应商全面实施相应的要求标准,规范和技术文件,买方有权进入工厂生产过程的监督检查水泵设备和材料,买方设备监督检查并不免除所有供应商的责任。供应商应提供必要的检验设备和材料给检查人员以及其他便利服务；</w:t>
      </w:r>
    </w:p>
    <w:p>
      <w:pPr>
        <w:pStyle w:val="14"/>
        <w:numPr>
          <w:ilvl w:val="0"/>
          <w:numId w:val="7"/>
        </w:numPr>
        <w:ind w:left="142" w:firstLine="338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检验和试验的设备和材料应符合要求的质量控制文件、技术文件和相关标准,也应符合相关法律的要求,以及本地的法规和标准；</w:t>
      </w:r>
    </w:p>
    <w:p>
      <w:pPr>
        <w:pStyle w:val="14"/>
        <w:numPr>
          <w:ilvl w:val="0"/>
          <w:numId w:val="7"/>
        </w:numPr>
        <w:ind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供应商和买方应共同起草一份详细的检验计划；</w:t>
      </w:r>
    </w:p>
    <w:p>
      <w:pPr>
        <w:pStyle w:val="14"/>
        <w:numPr>
          <w:ilvl w:val="0"/>
          <w:numId w:val="7"/>
        </w:numPr>
        <w:ind w:left="142" w:firstLine="338"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买方有权采取必要的方法来检查水泵设备的质量,如果发现质量问题,买方有权要求改正或退货,供应商承担相关费用；</w:t>
      </w:r>
    </w:p>
    <w:p>
      <w:pPr>
        <w:pStyle w:val="14"/>
        <w:numPr>
          <w:ilvl w:val="0"/>
          <w:numId w:val="7"/>
        </w:numPr>
        <w:ind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测试的设备和材料,需要“检验/测试需求报告”,但不限制如此；</w:t>
      </w:r>
    </w:p>
    <w:p>
      <w:pPr>
        <w:ind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所有设备应遵守检查:</w:t>
      </w:r>
    </w:p>
    <w:p>
      <w:pPr>
        <w:pStyle w:val="14"/>
        <w:numPr>
          <w:ilvl w:val="0"/>
          <w:numId w:val="8"/>
        </w:numPr>
        <w:ind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业主的规范要求；</w:t>
      </w:r>
    </w:p>
    <w:p>
      <w:pPr>
        <w:pStyle w:val="14"/>
        <w:numPr>
          <w:ilvl w:val="0"/>
          <w:numId w:val="8"/>
        </w:numPr>
        <w:ind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适用的规范、标准；</w:t>
      </w:r>
    </w:p>
    <w:p>
      <w:pPr>
        <w:pStyle w:val="14"/>
        <w:numPr>
          <w:ilvl w:val="0"/>
          <w:numId w:val="8"/>
        </w:numPr>
        <w:ind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供应商的测试和检验计划；</w:t>
      </w:r>
    </w:p>
    <w:p>
      <w:pPr>
        <w:pStyle w:val="14"/>
        <w:numPr>
          <w:ilvl w:val="0"/>
          <w:numId w:val="8"/>
        </w:numPr>
        <w:ind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核查人员有权要求额外的检查或测试,以确保设备符合本申请书和所有相关的法规和标准；</w:t>
      </w:r>
    </w:p>
    <w:p>
      <w:pPr>
        <w:pStyle w:val="14"/>
        <w:numPr>
          <w:ilvl w:val="0"/>
          <w:numId w:val="8"/>
        </w:numPr>
        <w:ind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如检查中发现问题，应当及时纠正，如当时未能纠正，应做好“未决项目（遗留项）”登记，以便后续检查；</w:t>
      </w:r>
    </w:p>
    <w:p>
      <w:pPr>
        <w:pStyle w:val="14"/>
        <w:numPr>
          <w:ilvl w:val="0"/>
          <w:numId w:val="8"/>
        </w:numPr>
        <w:ind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购买者应至少提前十天给出设备检验申请书；</w:t>
      </w:r>
    </w:p>
    <w:p>
      <w:pPr>
        <w:pStyle w:val="14"/>
        <w:numPr>
          <w:ilvl w:val="0"/>
          <w:numId w:val="8"/>
        </w:numPr>
        <w:ind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所有的备件也需要做与设备同样的检验；</w:t>
      </w:r>
    </w:p>
    <w:p>
      <w:pPr>
        <w:pStyle w:val="14"/>
        <w:numPr>
          <w:ilvl w:val="0"/>
          <w:numId w:val="8"/>
        </w:numPr>
        <w:ind w:firstLineChars="0"/>
        <w:rPr>
          <w:rFonts w:ascii="仿宋_GB2312" w:eastAsia="仿宋_GB2312"/>
        </w:rPr>
      </w:pPr>
      <w:r>
        <w:rPr>
          <w:rFonts w:hint="eastAsia" w:ascii="仿宋_GB2312" w:eastAsia="仿宋_GB2312"/>
        </w:rPr>
        <w:t>没有购买方的书面同意，没有解决完全部缺陷设备不得离厂；</w:t>
      </w:r>
    </w:p>
    <w:p>
      <w:pPr>
        <w:pStyle w:val="2"/>
        <w:numPr>
          <w:ilvl w:val="0"/>
          <w:numId w:val="2"/>
        </w:numPr>
        <w:rPr>
          <w:rFonts w:ascii="仿宋_GB2312" w:eastAsia="仿宋_GB2312"/>
        </w:rPr>
      </w:pPr>
      <w:bookmarkStart w:id="16" w:name="_Toc407098413"/>
      <w:r>
        <w:rPr>
          <w:rFonts w:hint="eastAsia" w:ascii="仿宋_GB2312" w:eastAsia="仿宋_GB2312"/>
        </w:rPr>
        <w:t>供货周期</w:t>
      </w:r>
      <w:bookmarkEnd w:id="16"/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供货周期：60天</w:t>
      </w:r>
    </w:p>
    <w:p>
      <w:pPr>
        <w:pStyle w:val="2"/>
        <w:numPr>
          <w:ilvl w:val="0"/>
          <w:numId w:val="2"/>
        </w:numPr>
        <w:rPr>
          <w:rFonts w:ascii="仿宋_GB2312" w:eastAsia="仿宋_GB2312"/>
        </w:rPr>
      </w:pPr>
      <w:bookmarkStart w:id="17" w:name="_Toc407098414"/>
      <w:r>
        <w:rPr>
          <w:rFonts w:hint="eastAsia" w:ascii="仿宋_GB2312" w:eastAsia="仿宋_GB2312"/>
        </w:rPr>
        <w:t>设备运输</w:t>
      </w:r>
      <w:bookmarkEnd w:id="17"/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供应商应准备适当的包装以便运输；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出厂前应对设备所有的开口进行临时关闭，以防止灰尘或其他杂物进入设备；</w:t>
      </w:r>
    </w:p>
    <w:p>
      <w:pPr>
        <w:ind w:firstLine="480"/>
        <w:rPr>
          <w:rFonts w:ascii="仿宋_GB2312" w:eastAsia="仿宋_GB2312"/>
        </w:rPr>
      </w:pPr>
      <w:r>
        <w:rPr>
          <w:rFonts w:hint="eastAsia" w:ascii="仿宋_GB2312" w:eastAsia="仿宋_GB2312"/>
        </w:rPr>
        <w:t>供应商提交运输方案，交与购买方审查。</w:t>
      </w:r>
    </w:p>
    <w:sectPr>
      <w:headerReference r:id="rId6" w:type="first"/>
      <w:footerReference r:id="rId9" w:type="first"/>
      <w:headerReference r:id="rId4" w:type="default"/>
      <w:footerReference r:id="rId7" w:type="default"/>
      <w:headerReference r:id="rId5" w:type="even"/>
      <w:footerReference r:id="rId8" w:type="even"/>
      <w:pgSz w:w="11906" w:h="16838"/>
      <w:pgMar w:top="1440" w:right="1469" w:bottom="777" w:left="1797" w:header="851" w:footer="438" w:gutter="0"/>
      <w:cols w:space="720" w:num="1"/>
      <w:titlePg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 Narrow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altName w:val="Times New Roman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Bookshelf Symbol 7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altName w:val="Times New Roman"/>
    <w:panose1 w:val="02040503050406030204"/>
    <w:charset w:val="00"/>
    <w:family w:val="auto"/>
    <w:pitch w:val="default"/>
    <w:sig w:usb0="A00002EF" w:usb1="4000004B" w:usb2="00000000" w:usb3="00000000" w:csb0="0000019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libri">
    <w:altName w:val="Microsoft Sans Serif"/>
    <w:panose1 w:val="020F0502020204030204"/>
    <w:charset w:val="00"/>
    <w:family w:val="auto"/>
    <w:pitch w:val="default"/>
    <w:sig w:usb0="E10002FF" w:usb1="4000ACFF" w:usb2="00000009" w:usb3="00000000" w:csb0="0000019F" w:csb1="0000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Microsoft Sans Serif">
    <w:panose1 w:val="020B0604020202020204"/>
    <w:charset w:val="00"/>
    <w:family w:val="auto"/>
    <w:pitch w:val="default"/>
    <w:sig w:usb0="61007BDF" w:usb1="80000000" w:usb2="00000008" w:usb3="00000000" w:csb0="200101FF" w:csb1="2028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Bookshelf Symbol 7">
    <w:panose1 w:val="05010101010101010101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6"/>
      <w:ind w:firstLine="360"/>
      <w:rPr>
        <w:rFonts w:hint="eastAsia" w:eastAsia="宋体"/>
        <w:lang w:eastAsia="zh-CN"/>
      </w:rPr>
    </w:pPr>
    <w:r>
      <w:rPr>
        <w:rFonts w:hint="eastAsia"/>
        <w:lang w:val="en-US" w:eastAsia="zh-CN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6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6"/>
      <w:ind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7"/>
      <w:jc w:val="left"/>
      <w:rPr>
        <w:szCs w:val="21"/>
      </w:rPr>
    </w:pPr>
    <w:r>
      <w:rPr>
        <w:rFonts w:hint="eastAsia"/>
        <w:sz w:val="21"/>
        <w:szCs w:val="21"/>
      </w:rPr>
      <w:t>水泵设备技术规格书A版</w:t>
    </w:r>
  </w:p>
  <w:p>
    <w:pPr>
      <w:pStyle w:val="7"/>
      <w:pBdr>
        <w:bottom w:val="none" w:color="auto" w:sz="0" w:space="0"/>
      </w:pBdr>
      <w:tabs>
        <w:tab w:val="right" w:pos="8460"/>
        <w:tab w:val="clear" w:pos="8306"/>
      </w:tabs>
      <w:jc w:val="both"/>
      <w:rPr>
        <w:sz w:val="21"/>
        <w:szCs w:val="21"/>
      </w:rPr>
    </w:pPr>
    <w:bookmarkStart w:id="18" w:name="_GoBack"/>
    <w:bookmarkEnd w:id="18"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989094669">
    <w:nsid w:val="768F2D0D"/>
    <w:multiLevelType w:val="multilevel"/>
    <w:tmpl w:val="768F2D0D"/>
    <w:lvl w:ilvl="0" w:tentative="1">
      <w:start w:val="1"/>
      <w:numFmt w:val="bullet"/>
      <w:lvlText w:val=""/>
      <w:lvlJc w:val="left"/>
      <w:pPr>
        <w:ind w:left="900" w:hanging="420"/>
      </w:pPr>
      <w:rPr>
        <w:rFonts w:hint="default" w:ascii="Wingdings" w:hAnsi="Wingdings"/>
      </w:rPr>
    </w:lvl>
    <w:lvl w:ilvl="1" w:tentative="1">
      <w:start w:val="1"/>
      <w:numFmt w:val="bullet"/>
      <w:lvlText w:val=""/>
      <w:lvlJc w:val="left"/>
      <w:pPr>
        <w:ind w:left="1320" w:hanging="420"/>
      </w:pPr>
      <w:rPr>
        <w:rFonts w:hint="default" w:ascii="Wingdings" w:hAnsi="Wingdings"/>
      </w:rPr>
    </w:lvl>
    <w:lvl w:ilvl="2" w:tentative="1">
      <w:start w:val="1"/>
      <w:numFmt w:val="bullet"/>
      <w:lvlText w:val=""/>
      <w:lvlJc w:val="left"/>
      <w:pPr>
        <w:ind w:left="1740" w:hanging="420"/>
      </w:pPr>
      <w:rPr>
        <w:rFonts w:hint="default" w:ascii="Wingdings" w:hAnsi="Wingdings"/>
      </w:rPr>
    </w:lvl>
    <w:lvl w:ilvl="3" w:tentative="1">
      <w:start w:val="1"/>
      <w:numFmt w:val="bullet"/>
      <w:lvlText w:val=""/>
      <w:lvlJc w:val="left"/>
      <w:pPr>
        <w:ind w:left="2160" w:hanging="420"/>
      </w:pPr>
      <w:rPr>
        <w:rFonts w:hint="default" w:ascii="Wingdings" w:hAnsi="Wingdings"/>
      </w:rPr>
    </w:lvl>
    <w:lvl w:ilvl="4" w:tentative="1">
      <w:start w:val="1"/>
      <w:numFmt w:val="bullet"/>
      <w:lvlText w:val=""/>
      <w:lvlJc w:val="left"/>
      <w:pPr>
        <w:ind w:left="2580" w:hanging="420"/>
      </w:pPr>
      <w:rPr>
        <w:rFonts w:hint="default" w:ascii="Wingdings" w:hAnsi="Wingdings"/>
      </w:rPr>
    </w:lvl>
    <w:lvl w:ilvl="5" w:tentative="1">
      <w:start w:val="1"/>
      <w:numFmt w:val="bullet"/>
      <w:lvlText w:val=""/>
      <w:lvlJc w:val="left"/>
      <w:pPr>
        <w:ind w:left="3000" w:hanging="420"/>
      </w:pPr>
      <w:rPr>
        <w:rFonts w:hint="default" w:ascii="Wingdings" w:hAnsi="Wingdings"/>
      </w:rPr>
    </w:lvl>
    <w:lvl w:ilvl="6" w:tentative="1">
      <w:start w:val="1"/>
      <w:numFmt w:val="bullet"/>
      <w:lvlText w:val=""/>
      <w:lvlJc w:val="left"/>
      <w:pPr>
        <w:ind w:left="3420" w:hanging="420"/>
      </w:pPr>
      <w:rPr>
        <w:rFonts w:hint="default" w:ascii="Wingdings" w:hAnsi="Wingdings"/>
      </w:rPr>
    </w:lvl>
    <w:lvl w:ilvl="7" w:tentative="1">
      <w:start w:val="1"/>
      <w:numFmt w:val="bullet"/>
      <w:lvlText w:val=""/>
      <w:lvlJc w:val="left"/>
      <w:pPr>
        <w:ind w:left="3840" w:hanging="420"/>
      </w:pPr>
      <w:rPr>
        <w:rFonts w:hint="default" w:ascii="Wingdings" w:hAnsi="Wingdings"/>
      </w:rPr>
    </w:lvl>
    <w:lvl w:ilvl="8" w:tentative="1">
      <w:start w:val="1"/>
      <w:numFmt w:val="bullet"/>
      <w:lvlText w:val=""/>
      <w:lvlJc w:val="left"/>
      <w:pPr>
        <w:ind w:left="4260" w:hanging="420"/>
      </w:pPr>
      <w:rPr>
        <w:rFonts w:hint="default" w:ascii="Wingdings" w:hAnsi="Wingdings"/>
      </w:rPr>
    </w:lvl>
  </w:abstractNum>
  <w:abstractNum w:abstractNumId="521365006">
    <w:nsid w:val="1F13660E"/>
    <w:multiLevelType w:val="multilevel"/>
    <w:tmpl w:val="1F13660E"/>
    <w:lvl w:ilvl="0" w:tentative="1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22662937">
    <w:nsid w:val="251D1519"/>
    <w:multiLevelType w:val="multilevel"/>
    <w:tmpl w:val="251D1519"/>
    <w:lvl w:ilvl="0" w:tentative="1">
      <w:start w:val="1"/>
      <w:numFmt w:val="bullet"/>
      <w:lvlText w:val=""/>
      <w:lvlJc w:val="left"/>
      <w:pPr>
        <w:ind w:left="900" w:hanging="420"/>
      </w:pPr>
      <w:rPr>
        <w:rFonts w:hint="default" w:ascii="Wingdings" w:hAnsi="Wingdings"/>
      </w:rPr>
    </w:lvl>
    <w:lvl w:ilvl="1" w:tentative="1">
      <w:start w:val="1"/>
      <w:numFmt w:val="bullet"/>
      <w:lvlText w:val=""/>
      <w:lvlJc w:val="left"/>
      <w:pPr>
        <w:ind w:left="1320" w:hanging="420"/>
      </w:pPr>
      <w:rPr>
        <w:rFonts w:hint="default" w:ascii="Wingdings" w:hAnsi="Wingdings"/>
      </w:rPr>
    </w:lvl>
    <w:lvl w:ilvl="2" w:tentative="1">
      <w:start w:val="1"/>
      <w:numFmt w:val="bullet"/>
      <w:lvlText w:val=""/>
      <w:lvlJc w:val="left"/>
      <w:pPr>
        <w:ind w:left="1740" w:hanging="420"/>
      </w:pPr>
      <w:rPr>
        <w:rFonts w:hint="default" w:ascii="Wingdings" w:hAnsi="Wingdings"/>
      </w:rPr>
    </w:lvl>
    <w:lvl w:ilvl="3" w:tentative="1">
      <w:start w:val="1"/>
      <w:numFmt w:val="bullet"/>
      <w:lvlText w:val=""/>
      <w:lvlJc w:val="left"/>
      <w:pPr>
        <w:ind w:left="2160" w:hanging="420"/>
      </w:pPr>
      <w:rPr>
        <w:rFonts w:hint="default" w:ascii="Wingdings" w:hAnsi="Wingdings"/>
      </w:rPr>
    </w:lvl>
    <w:lvl w:ilvl="4" w:tentative="1">
      <w:start w:val="1"/>
      <w:numFmt w:val="bullet"/>
      <w:lvlText w:val=""/>
      <w:lvlJc w:val="left"/>
      <w:pPr>
        <w:ind w:left="2580" w:hanging="420"/>
      </w:pPr>
      <w:rPr>
        <w:rFonts w:hint="default" w:ascii="Wingdings" w:hAnsi="Wingdings"/>
      </w:rPr>
    </w:lvl>
    <w:lvl w:ilvl="5" w:tentative="1">
      <w:start w:val="1"/>
      <w:numFmt w:val="bullet"/>
      <w:lvlText w:val=""/>
      <w:lvlJc w:val="left"/>
      <w:pPr>
        <w:ind w:left="3000" w:hanging="420"/>
      </w:pPr>
      <w:rPr>
        <w:rFonts w:hint="default" w:ascii="Wingdings" w:hAnsi="Wingdings"/>
      </w:rPr>
    </w:lvl>
    <w:lvl w:ilvl="6" w:tentative="1">
      <w:start w:val="1"/>
      <w:numFmt w:val="bullet"/>
      <w:lvlText w:val=""/>
      <w:lvlJc w:val="left"/>
      <w:pPr>
        <w:ind w:left="3420" w:hanging="420"/>
      </w:pPr>
      <w:rPr>
        <w:rFonts w:hint="default" w:ascii="Wingdings" w:hAnsi="Wingdings"/>
      </w:rPr>
    </w:lvl>
    <w:lvl w:ilvl="7" w:tentative="1">
      <w:start w:val="1"/>
      <w:numFmt w:val="bullet"/>
      <w:lvlText w:val=""/>
      <w:lvlJc w:val="left"/>
      <w:pPr>
        <w:ind w:left="3840" w:hanging="420"/>
      </w:pPr>
      <w:rPr>
        <w:rFonts w:hint="default" w:ascii="Wingdings" w:hAnsi="Wingdings"/>
      </w:rPr>
    </w:lvl>
    <w:lvl w:ilvl="8" w:tentative="1">
      <w:start w:val="1"/>
      <w:numFmt w:val="bullet"/>
      <w:lvlText w:val=""/>
      <w:lvlJc w:val="left"/>
      <w:pPr>
        <w:ind w:left="4260" w:hanging="420"/>
      </w:pPr>
      <w:rPr>
        <w:rFonts w:hint="default" w:ascii="Wingdings" w:hAnsi="Wingdings"/>
      </w:rPr>
    </w:lvl>
  </w:abstractNum>
  <w:abstractNum w:abstractNumId="633095494">
    <w:nsid w:val="25BC4546"/>
    <w:multiLevelType w:val="multilevel"/>
    <w:tmpl w:val="25BC4546"/>
    <w:lvl w:ilvl="0" w:tentative="1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  <w:lvl w:ilvl="1" w:tentative="1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1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1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1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1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1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1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1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83261920">
    <w:nsid w:val="04F679E0"/>
    <w:multiLevelType w:val="multilevel"/>
    <w:tmpl w:val="04F679E0"/>
    <w:lvl w:ilvl="0" w:tentative="1">
      <w:start w:val="1"/>
      <w:numFmt w:val="bullet"/>
      <w:lvlText w:val=""/>
      <w:lvlJc w:val="left"/>
      <w:pPr>
        <w:ind w:left="846" w:hanging="420"/>
      </w:pPr>
      <w:rPr>
        <w:rFonts w:hint="default" w:ascii="Wingdings" w:hAnsi="Wingdings"/>
      </w:rPr>
    </w:lvl>
    <w:lvl w:ilvl="1" w:tentative="1">
      <w:start w:val="1"/>
      <w:numFmt w:val="bullet"/>
      <w:lvlText w:val=""/>
      <w:lvlJc w:val="left"/>
      <w:pPr>
        <w:ind w:left="1266" w:hanging="420"/>
      </w:pPr>
      <w:rPr>
        <w:rFonts w:hint="default" w:ascii="Wingdings" w:hAnsi="Wingdings"/>
      </w:rPr>
    </w:lvl>
    <w:lvl w:ilvl="2" w:tentative="1">
      <w:start w:val="1"/>
      <w:numFmt w:val="bullet"/>
      <w:lvlText w:val=""/>
      <w:lvlJc w:val="left"/>
      <w:pPr>
        <w:ind w:left="1686" w:hanging="420"/>
      </w:pPr>
      <w:rPr>
        <w:rFonts w:hint="default" w:ascii="Wingdings" w:hAnsi="Wingdings"/>
      </w:rPr>
    </w:lvl>
    <w:lvl w:ilvl="3" w:tentative="1">
      <w:start w:val="1"/>
      <w:numFmt w:val="bullet"/>
      <w:lvlText w:val=""/>
      <w:lvlJc w:val="left"/>
      <w:pPr>
        <w:ind w:left="2106" w:hanging="420"/>
      </w:pPr>
      <w:rPr>
        <w:rFonts w:hint="default" w:ascii="Wingdings" w:hAnsi="Wingdings"/>
      </w:rPr>
    </w:lvl>
    <w:lvl w:ilvl="4" w:tentative="1">
      <w:start w:val="1"/>
      <w:numFmt w:val="bullet"/>
      <w:lvlText w:val=""/>
      <w:lvlJc w:val="left"/>
      <w:pPr>
        <w:ind w:left="2526" w:hanging="420"/>
      </w:pPr>
      <w:rPr>
        <w:rFonts w:hint="default" w:ascii="Wingdings" w:hAnsi="Wingdings"/>
      </w:rPr>
    </w:lvl>
    <w:lvl w:ilvl="5" w:tentative="1">
      <w:start w:val="1"/>
      <w:numFmt w:val="bullet"/>
      <w:lvlText w:val=""/>
      <w:lvlJc w:val="left"/>
      <w:pPr>
        <w:ind w:left="2946" w:hanging="420"/>
      </w:pPr>
      <w:rPr>
        <w:rFonts w:hint="default" w:ascii="Wingdings" w:hAnsi="Wingdings"/>
      </w:rPr>
    </w:lvl>
    <w:lvl w:ilvl="6" w:tentative="1">
      <w:start w:val="1"/>
      <w:numFmt w:val="bullet"/>
      <w:lvlText w:val=""/>
      <w:lvlJc w:val="left"/>
      <w:pPr>
        <w:ind w:left="3366" w:hanging="420"/>
      </w:pPr>
      <w:rPr>
        <w:rFonts w:hint="default" w:ascii="Wingdings" w:hAnsi="Wingdings"/>
      </w:rPr>
    </w:lvl>
    <w:lvl w:ilvl="7" w:tentative="1">
      <w:start w:val="1"/>
      <w:numFmt w:val="bullet"/>
      <w:lvlText w:val=""/>
      <w:lvlJc w:val="left"/>
      <w:pPr>
        <w:ind w:left="3786" w:hanging="420"/>
      </w:pPr>
      <w:rPr>
        <w:rFonts w:hint="default" w:ascii="Wingdings" w:hAnsi="Wingdings"/>
      </w:rPr>
    </w:lvl>
    <w:lvl w:ilvl="8" w:tentative="1">
      <w:start w:val="1"/>
      <w:numFmt w:val="bullet"/>
      <w:lvlText w:val=""/>
      <w:lvlJc w:val="left"/>
      <w:pPr>
        <w:ind w:left="4206" w:hanging="420"/>
      </w:pPr>
      <w:rPr>
        <w:rFonts w:hint="default" w:ascii="Wingdings" w:hAnsi="Wingdings"/>
      </w:rPr>
    </w:lvl>
  </w:abstractNum>
  <w:abstractNum w:abstractNumId="760688614">
    <w:nsid w:val="2D572FE6"/>
    <w:multiLevelType w:val="multilevel"/>
    <w:tmpl w:val="2D572FE6"/>
    <w:lvl w:ilvl="0" w:tentative="1">
      <w:start w:val="1"/>
      <w:numFmt w:val="decimal"/>
      <w:pStyle w:val="3"/>
      <w:lvlText w:val="9.%1."/>
      <w:lvlJc w:val="left"/>
      <w:pPr>
        <w:ind w:left="420" w:hanging="4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snapToGrid w:val="0"/>
        <w:color w:val="000000"/>
        <w:spacing w:val="0"/>
        <w:w w:val="0"/>
        <w:kern w:val="0"/>
        <w:position w:val="0"/>
        <w:szCs w:val="16"/>
        <w:u w:val="none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72477417">
    <w:nsid w:val="57C438E9"/>
    <w:multiLevelType w:val="multilevel"/>
    <w:tmpl w:val="57C438E9"/>
    <w:lvl w:ilvl="0" w:tentative="1">
      <w:start w:val="1"/>
      <w:numFmt w:val="bullet"/>
      <w:lvlText w:val=""/>
      <w:lvlJc w:val="left"/>
      <w:pPr>
        <w:ind w:left="846" w:hanging="420"/>
      </w:pPr>
      <w:rPr>
        <w:rFonts w:hint="default" w:ascii="Wingdings" w:hAnsi="Wingdings"/>
      </w:rPr>
    </w:lvl>
    <w:lvl w:ilvl="1" w:tentative="1">
      <w:start w:val="1"/>
      <w:numFmt w:val="bullet"/>
      <w:lvlText w:val=""/>
      <w:lvlJc w:val="left"/>
      <w:pPr>
        <w:ind w:left="1266" w:hanging="420"/>
      </w:pPr>
      <w:rPr>
        <w:rFonts w:hint="default" w:ascii="Wingdings" w:hAnsi="Wingdings"/>
      </w:rPr>
    </w:lvl>
    <w:lvl w:ilvl="2" w:tentative="1">
      <w:start w:val="1"/>
      <w:numFmt w:val="bullet"/>
      <w:lvlText w:val=""/>
      <w:lvlJc w:val="left"/>
      <w:pPr>
        <w:ind w:left="1686" w:hanging="420"/>
      </w:pPr>
      <w:rPr>
        <w:rFonts w:hint="default" w:ascii="Wingdings" w:hAnsi="Wingdings"/>
      </w:rPr>
    </w:lvl>
    <w:lvl w:ilvl="3" w:tentative="1">
      <w:start w:val="1"/>
      <w:numFmt w:val="bullet"/>
      <w:lvlText w:val=""/>
      <w:lvlJc w:val="left"/>
      <w:pPr>
        <w:ind w:left="2106" w:hanging="420"/>
      </w:pPr>
      <w:rPr>
        <w:rFonts w:hint="default" w:ascii="Wingdings" w:hAnsi="Wingdings"/>
      </w:rPr>
    </w:lvl>
    <w:lvl w:ilvl="4" w:tentative="1">
      <w:start w:val="1"/>
      <w:numFmt w:val="bullet"/>
      <w:lvlText w:val=""/>
      <w:lvlJc w:val="left"/>
      <w:pPr>
        <w:ind w:left="2526" w:hanging="420"/>
      </w:pPr>
      <w:rPr>
        <w:rFonts w:hint="default" w:ascii="Wingdings" w:hAnsi="Wingdings"/>
      </w:rPr>
    </w:lvl>
    <w:lvl w:ilvl="5" w:tentative="1">
      <w:start w:val="1"/>
      <w:numFmt w:val="bullet"/>
      <w:lvlText w:val=""/>
      <w:lvlJc w:val="left"/>
      <w:pPr>
        <w:ind w:left="2946" w:hanging="420"/>
      </w:pPr>
      <w:rPr>
        <w:rFonts w:hint="default" w:ascii="Wingdings" w:hAnsi="Wingdings"/>
      </w:rPr>
    </w:lvl>
    <w:lvl w:ilvl="6" w:tentative="1">
      <w:start w:val="1"/>
      <w:numFmt w:val="bullet"/>
      <w:lvlText w:val=""/>
      <w:lvlJc w:val="left"/>
      <w:pPr>
        <w:ind w:left="3366" w:hanging="420"/>
      </w:pPr>
      <w:rPr>
        <w:rFonts w:hint="default" w:ascii="Wingdings" w:hAnsi="Wingdings"/>
      </w:rPr>
    </w:lvl>
    <w:lvl w:ilvl="7" w:tentative="1">
      <w:start w:val="1"/>
      <w:numFmt w:val="bullet"/>
      <w:lvlText w:val=""/>
      <w:lvlJc w:val="left"/>
      <w:pPr>
        <w:ind w:left="3786" w:hanging="420"/>
      </w:pPr>
      <w:rPr>
        <w:rFonts w:hint="default" w:ascii="Wingdings" w:hAnsi="Wingdings"/>
      </w:rPr>
    </w:lvl>
    <w:lvl w:ilvl="8" w:tentative="1">
      <w:start w:val="1"/>
      <w:numFmt w:val="bullet"/>
      <w:lvlText w:val=""/>
      <w:lvlJc w:val="left"/>
      <w:pPr>
        <w:ind w:left="4206" w:hanging="420"/>
      </w:pPr>
      <w:rPr>
        <w:rFonts w:hint="default" w:ascii="Wingdings" w:hAnsi="Wingdings"/>
      </w:rPr>
    </w:lvl>
  </w:abstractNum>
  <w:abstractNum w:abstractNumId="665590146">
    <w:nsid w:val="27AC1982"/>
    <w:multiLevelType w:val="multilevel"/>
    <w:tmpl w:val="27AC1982"/>
    <w:lvl w:ilvl="0" w:tentative="1">
      <w:start w:val="1"/>
      <w:numFmt w:val="bullet"/>
      <w:lvlText w:val=""/>
      <w:lvlJc w:val="left"/>
      <w:pPr>
        <w:ind w:left="900" w:hanging="420"/>
      </w:pPr>
      <w:rPr>
        <w:rFonts w:hint="default" w:ascii="Wingdings" w:hAnsi="Wingdings"/>
      </w:rPr>
    </w:lvl>
    <w:lvl w:ilvl="1" w:tentative="1">
      <w:start w:val="1"/>
      <w:numFmt w:val="bullet"/>
      <w:lvlText w:val=""/>
      <w:lvlJc w:val="left"/>
      <w:pPr>
        <w:ind w:left="1320" w:hanging="420"/>
      </w:pPr>
      <w:rPr>
        <w:rFonts w:hint="default" w:ascii="Wingdings" w:hAnsi="Wingdings"/>
      </w:rPr>
    </w:lvl>
    <w:lvl w:ilvl="2" w:tentative="1">
      <w:start w:val="1"/>
      <w:numFmt w:val="bullet"/>
      <w:lvlText w:val=""/>
      <w:lvlJc w:val="left"/>
      <w:pPr>
        <w:ind w:left="1740" w:hanging="420"/>
      </w:pPr>
      <w:rPr>
        <w:rFonts w:hint="default" w:ascii="Wingdings" w:hAnsi="Wingdings"/>
      </w:rPr>
    </w:lvl>
    <w:lvl w:ilvl="3" w:tentative="1">
      <w:start w:val="1"/>
      <w:numFmt w:val="bullet"/>
      <w:lvlText w:val=""/>
      <w:lvlJc w:val="left"/>
      <w:pPr>
        <w:ind w:left="2160" w:hanging="420"/>
      </w:pPr>
      <w:rPr>
        <w:rFonts w:hint="default" w:ascii="Wingdings" w:hAnsi="Wingdings"/>
      </w:rPr>
    </w:lvl>
    <w:lvl w:ilvl="4" w:tentative="1">
      <w:start w:val="1"/>
      <w:numFmt w:val="bullet"/>
      <w:lvlText w:val=""/>
      <w:lvlJc w:val="left"/>
      <w:pPr>
        <w:ind w:left="2580" w:hanging="420"/>
      </w:pPr>
      <w:rPr>
        <w:rFonts w:hint="default" w:ascii="Wingdings" w:hAnsi="Wingdings"/>
      </w:rPr>
    </w:lvl>
    <w:lvl w:ilvl="5" w:tentative="1">
      <w:start w:val="1"/>
      <w:numFmt w:val="bullet"/>
      <w:lvlText w:val=""/>
      <w:lvlJc w:val="left"/>
      <w:pPr>
        <w:ind w:left="3000" w:hanging="420"/>
      </w:pPr>
      <w:rPr>
        <w:rFonts w:hint="default" w:ascii="Wingdings" w:hAnsi="Wingdings"/>
      </w:rPr>
    </w:lvl>
    <w:lvl w:ilvl="6" w:tentative="1">
      <w:start w:val="1"/>
      <w:numFmt w:val="bullet"/>
      <w:lvlText w:val=""/>
      <w:lvlJc w:val="left"/>
      <w:pPr>
        <w:ind w:left="3420" w:hanging="420"/>
      </w:pPr>
      <w:rPr>
        <w:rFonts w:hint="default" w:ascii="Wingdings" w:hAnsi="Wingdings"/>
      </w:rPr>
    </w:lvl>
    <w:lvl w:ilvl="7" w:tentative="1">
      <w:start w:val="1"/>
      <w:numFmt w:val="bullet"/>
      <w:lvlText w:val=""/>
      <w:lvlJc w:val="left"/>
      <w:pPr>
        <w:ind w:left="3840" w:hanging="420"/>
      </w:pPr>
      <w:rPr>
        <w:rFonts w:hint="default" w:ascii="Wingdings" w:hAnsi="Wingdings"/>
      </w:rPr>
    </w:lvl>
    <w:lvl w:ilvl="8" w:tentative="1">
      <w:start w:val="1"/>
      <w:numFmt w:val="bullet"/>
      <w:lvlText w:val=""/>
      <w:lvlJc w:val="left"/>
      <w:pPr>
        <w:ind w:left="4260" w:hanging="420"/>
      </w:pPr>
      <w:rPr>
        <w:rFonts w:hint="default" w:ascii="Wingdings" w:hAnsi="Wingdings"/>
      </w:rPr>
    </w:lvl>
  </w:abstractNum>
  <w:num w:numId="1">
    <w:abstractNumId w:val="760688614"/>
  </w:num>
  <w:num w:numId="2">
    <w:abstractNumId w:val="521365006"/>
  </w:num>
  <w:num w:numId="3">
    <w:abstractNumId w:val="633095494"/>
  </w:num>
  <w:num w:numId="4">
    <w:abstractNumId w:val="665590146"/>
  </w:num>
  <w:num w:numId="5">
    <w:abstractNumId w:val="83261920"/>
  </w:num>
  <w:num w:numId="6">
    <w:abstractNumId w:val="1472477417"/>
  </w:num>
  <w:num w:numId="7">
    <w:abstractNumId w:val="1989094669"/>
  </w:num>
  <w:num w:numId="8">
    <w:abstractNumId w:val="6226629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0F186C"/>
    <w:rsid w:val="000431BF"/>
    <w:rsid w:val="00044B6D"/>
    <w:rsid w:val="0006025C"/>
    <w:rsid w:val="000924F0"/>
    <w:rsid w:val="000B0450"/>
    <w:rsid w:val="000F186C"/>
    <w:rsid w:val="000F4024"/>
    <w:rsid w:val="00120E62"/>
    <w:rsid w:val="00162932"/>
    <w:rsid w:val="00176077"/>
    <w:rsid w:val="001763B4"/>
    <w:rsid w:val="00194CA7"/>
    <w:rsid w:val="001A4D9D"/>
    <w:rsid w:val="001D5F08"/>
    <w:rsid w:val="001D5F88"/>
    <w:rsid w:val="001E0531"/>
    <w:rsid w:val="0024012B"/>
    <w:rsid w:val="00293A3E"/>
    <w:rsid w:val="002D0C09"/>
    <w:rsid w:val="003A2D54"/>
    <w:rsid w:val="003A4879"/>
    <w:rsid w:val="003D7B74"/>
    <w:rsid w:val="00405A2A"/>
    <w:rsid w:val="00406F25"/>
    <w:rsid w:val="004103A5"/>
    <w:rsid w:val="004118FF"/>
    <w:rsid w:val="00433760"/>
    <w:rsid w:val="0044076D"/>
    <w:rsid w:val="004D2964"/>
    <w:rsid w:val="00527E5C"/>
    <w:rsid w:val="00537476"/>
    <w:rsid w:val="00544A75"/>
    <w:rsid w:val="005722F8"/>
    <w:rsid w:val="005F6B03"/>
    <w:rsid w:val="006053F4"/>
    <w:rsid w:val="00633E0A"/>
    <w:rsid w:val="00651F11"/>
    <w:rsid w:val="006535D8"/>
    <w:rsid w:val="0065749D"/>
    <w:rsid w:val="00671034"/>
    <w:rsid w:val="00673232"/>
    <w:rsid w:val="006A01AF"/>
    <w:rsid w:val="006A1711"/>
    <w:rsid w:val="006A7578"/>
    <w:rsid w:val="006D54E5"/>
    <w:rsid w:val="006D707A"/>
    <w:rsid w:val="006E4D5E"/>
    <w:rsid w:val="00711000"/>
    <w:rsid w:val="00711711"/>
    <w:rsid w:val="007156D6"/>
    <w:rsid w:val="00743FBF"/>
    <w:rsid w:val="00773EFF"/>
    <w:rsid w:val="007A4886"/>
    <w:rsid w:val="007B180C"/>
    <w:rsid w:val="007D4300"/>
    <w:rsid w:val="007D5D0F"/>
    <w:rsid w:val="007E6CE2"/>
    <w:rsid w:val="0082075F"/>
    <w:rsid w:val="0082484F"/>
    <w:rsid w:val="00836AB7"/>
    <w:rsid w:val="00860870"/>
    <w:rsid w:val="0088312C"/>
    <w:rsid w:val="00887C95"/>
    <w:rsid w:val="008A105F"/>
    <w:rsid w:val="008C2824"/>
    <w:rsid w:val="008D77DD"/>
    <w:rsid w:val="008F26C5"/>
    <w:rsid w:val="00937436"/>
    <w:rsid w:val="0093766C"/>
    <w:rsid w:val="00964486"/>
    <w:rsid w:val="009744C9"/>
    <w:rsid w:val="00981591"/>
    <w:rsid w:val="00993BC7"/>
    <w:rsid w:val="009A5B5B"/>
    <w:rsid w:val="009D4A84"/>
    <w:rsid w:val="009E15ED"/>
    <w:rsid w:val="00A14AE5"/>
    <w:rsid w:val="00A54195"/>
    <w:rsid w:val="00A60AAA"/>
    <w:rsid w:val="00AC1005"/>
    <w:rsid w:val="00AE1AFC"/>
    <w:rsid w:val="00B06289"/>
    <w:rsid w:val="00B11738"/>
    <w:rsid w:val="00B31C20"/>
    <w:rsid w:val="00B46C06"/>
    <w:rsid w:val="00B55487"/>
    <w:rsid w:val="00B82182"/>
    <w:rsid w:val="00BA02F7"/>
    <w:rsid w:val="00BA3F16"/>
    <w:rsid w:val="00BA5BD3"/>
    <w:rsid w:val="00BC1A73"/>
    <w:rsid w:val="00BD0670"/>
    <w:rsid w:val="00BD1B80"/>
    <w:rsid w:val="00BF22AB"/>
    <w:rsid w:val="00C201BD"/>
    <w:rsid w:val="00C77966"/>
    <w:rsid w:val="00C90135"/>
    <w:rsid w:val="00CC7541"/>
    <w:rsid w:val="00CE7B13"/>
    <w:rsid w:val="00CE7FC4"/>
    <w:rsid w:val="00CF0095"/>
    <w:rsid w:val="00CF2ECE"/>
    <w:rsid w:val="00D777C5"/>
    <w:rsid w:val="00D92E15"/>
    <w:rsid w:val="00DA3F94"/>
    <w:rsid w:val="00DA4664"/>
    <w:rsid w:val="00DC230C"/>
    <w:rsid w:val="00DD4D05"/>
    <w:rsid w:val="00DF2A79"/>
    <w:rsid w:val="00E97EC2"/>
    <w:rsid w:val="00EE3252"/>
    <w:rsid w:val="00EF1D1C"/>
    <w:rsid w:val="00F171FA"/>
    <w:rsid w:val="00F33E92"/>
    <w:rsid w:val="00F37A4B"/>
    <w:rsid w:val="00F62941"/>
    <w:rsid w:val="00F66B9E"/>
    <w:rsid w:val="00F8232C"/>
    <w:rsid w:val="00F86304"/>
    <w:rsid w:val="00F94C9B"/>
    <w:rsid w:val="00FB238F"/>
    <w:rsid w:val="00FB7520"/>
    <w:rsid w:val="00FF433F"/>
    <w:rsid w:val="07A25D37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semiHidden="0" w:name="toc 1"/>
    <w:lsdException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99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99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Times New Roman" w:hAnsi="Times New Roman" w:eastAsia="宋体" w:cs="黑体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ind w:firstLine="0" w:firstLineChars="0"/>
      <w:outlineLvl w:val="0"/>
    </w:pPr>
    <w:rPr>
      <w:b/>
      <w:bCs/>
      <w:kern w:val="44"/>
      <w:sz w:val="28"/>
      <w:szCs w:val="44"/>
    </w:rPr>
  </w:style>
  <w:style w:type="paragraph" w:styleId="3">
    <w:name w:val="heading 2"/>
    <w:basedOn w:val="1"/>
    <w:next w:val="1"/>
    <w:link w:val="21"/>
    <w:unhideWhenUsed/>
    <w:qFormat/>
    <w:uiPriority w:val="9"/>
    <w:pPr>
      <w:keepNext/>
      <w:keepLines/>
      <w:numPr>
        <w:ilvl w:val="0"/>
        <w:numId w:val="1"/>
      </w:numPr>
      <w:ind w:firstLine="0" w:firstLineChars="0"/>
      <w:outlineLvl w:val="1"/>
    </w:pPr>
    <w:rPr>
      <w:rFonts w:ascii="仿宋_GB2312" w:eastAsia="仿宋_GB2312" w:cs="黑体"/>
      <w:b/>
      <w:bCs/>
      <w:szCs w:val="32"/>
    </w:rPr>
  </w:style>
  <w:style w:type="paragraph" w:styleId="4">
    <w:name w:val="heading 3"/>
    <w:basedOn w:val="1"/>
    <w:next w:val="1"/>
    <w:link w:val="22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1">
    <w:name w:val="Default Paragraph Font"/>
    <w:unhideWhenUsed/>
    <w:uiPriority w:val="1"/>
  </w:style>
  <w:style w:type="table" w:default="1" w:styleId="13">
    <w:name w:val="Normal Table"/>
    <w:unhideWhenUsed/>
    <w:qFormat/>
    <w:uiPriority w:val="99"/>
    <w:tblPr>
      <w:tblStyle w:val="13"/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ate"/>
    <w:basedOn w:val="1"/>
    <w:next w:val="1"/>
    <w:link w:val="18"/>
    <w:unhideWhenUsed/>
    <w:uiPriority w:val="99"/>
    <w:pPr>
      <w:ind w:left="100" w:leftChars="2500"/>
    </w:pPr>
  </w:style>
  <w:style w:type="paragraph" w:styleId="6">
    <w:name w:val="footer"/>
    <w:basedOn w:val="1"/>
    <w:link w:val="20"/>
    <w:unhideWhenUsed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7">
    <w:name w:val="header"/>
    <w:basedOn w:val="1"/>
    <w:link w:val="1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ind w:firstLine="0" w:firstLineChars="0"/>
      <w:jc w:val="center"/>
    </w:pPr>
    <w:rPr>
      <w:rFonts w:cs="Times New Roman"/>
      <w:sz w:val="18"/>
      <w:szCs w:val="20"/>
    </w:rPr>
  </w:style>
  <w:style w:type="paragraph" w:styleId="8">
    <w:name w:val="toc 1"/>
    <w:basedOn w:val="1"/>
    <w:next w:val="1"/>
    <w:unhideWhenUsed/>
    <w:uiPriority w:val="39"/>
  </w:style>
  <w:style w:type="paragraph" w:styleId="9">
    <w:name w:val="toc 2"/>
    <w:basedOn w:val="1"/>
    <w:next w:val="1"/>
    <w:unhideWhenUsed/>
    <w:uiPriority w:val="39"/>
    <w:pPr>
      <w:ind w:left="420" w:leftChars="200"/>
    </w:pPr>
  </w:style>
  <w:style w:type="paragraph" w:styleId="10">
    <w:name w:val="Title"/>
    <w:basedOn w:val="1"/>
    <w:next w:val="1"/>
    <w:link w:val="17"/>
    <w:qFormat/>
    <w:uiPriority w:val="10"/>
    <w:pPr>
      <w:jc w:val="center"/>
      <w:outlineLvl w:val="0"/>
    </w:pPr>
    <w:rPr>
      <w:rFonts w:ascii="Cambria" w:hAnsi="Cambria" w:eastAsia="黑体" w:cs="黑体"/>
      <w:b/>
      <w:bCs/>
      <w:sz w:val="32"/>
      <w:szCs w:val="32"/>
    </w:rPr>
  </w:style>
  <w:style w:type="character" w:styleId="12">
    <w:name w:val="Hyperlink"/>
    <w:basedOn w:val="11"/>
    <w:unhideWhenUsed/>
    <w:uiPriority w:val="99"/>
    <w:rPr>
      <w:color w:val="0000FF"/>
      <w:u w:val="single"/>
    </w:rPr>
  </w:style>
  <w:style w:type="paragraph" w:customStyle="1" w:styleId="14">
    <w:name w:val="List Paragraph"/>
    <w:basedOn w:val="1"/>
    <w:qFormat/>
    <w:uiPriority w:val="34"/>
    <w:pPr>
      <w:ind w:firstLine="420"/>
    </w:pPr>
  </w:style>
  <w:style w:type="paragraph" w:customStyle="1" w:styleId="15">
    <w:name w:val="正文格式"/>
    <w:basedOn w:val="1"/>
    <w:link w:val="23"/>
    <w:uiPriority w:val="0"/>
    <w:rPr>
      <w:rFonts w:ascii="楷体_GB2312" w:hAnsi="Calibri" w:eastAsia="楷体_GB2312" w:cs="宋体"/>
      <w:color w:val="000000"/>
      <w:sz w:val="28"/>
      <w:szCs w:val="28"/>
    </w:rPr>
  </w:style>
  <w:style w:type="character" w:customStyle="1" w:styleId="16">
    <w:name w:val="标题 1 Char"/>
    <w:basedOn w:val="11"/>
    <w:link w:val="2"/>
    <w:uiPriority w:val="9"/>
    <w:rPr>
      <w:rFonts w:ascii="Times New Roman" w:hAnsi="Times New Roman" w:eastAsia="宋体"/>
      <w:b/>
      <w:bCs/>
      <w:kern w:val="44"/>
      <w:sz w:val="28"/>
      <w:szCs w:val="44"/>
    </w:rPr>
  </w:style>
  <w:style w:type="character" w:customStyle="1" w:styleId="17">
    <w:name w:val="标题 Char"/>
    <w:basedOn w:val="11"/>
    <w:link w:val="10"/>
    <w:uiPriority w:val="10"/>
    <w:rPr>
      <w:rFonts w:ascii="Cambria" w:hAnsi="Cambria" w:eastAsia="黑体" w:cs="黑体"/>
      <w:b/>
      <w:bCs/>
      <w:sz w:val="32"/>
      <w:szCs w:val="32"/>
    </w:rPr>
  </w:style>
  <w:style w:type="character" w:customStyle="1" w:styleId="18">
    <w:name w:val="日期 Char"/>
    <w:basedOn w:val="11"/>
    <w:link w:val="5"/>
    <w:semiHidden/>
    <w:uiPriority w:val="99"/>
    <w:rPr>
      <w:rFonts w:ascii="Times New Roman" w:hAnsi="Times New Roman" w:eastAsia="宋体"/>
      <w:sz w:val="24"/>
    </w:rPr>
  </w:style>
  <w:style w:type="character" w:customStyle="1" w:styleId="19">
    <w:name w:val="页眉 Char"/>
    <w:basedOn w:val="11"/>
    <w:link w:val="7"/>
    <w:uiPriority w:val="0"/>
    <w:rPr>
      <w:rFonts w:ascii="Times New Roman" w:hAnsi="Times New Roman" w:eastAsia="宋体" w:cs="Times New Roman"/>
      <w:sz w:val="18"/>
      <w:szCs w:val="20"/>
    </w:rPr>
  </w:style>
  <w:style w:type="character" w:customStyle="1" w:styleId="20">
    <w:name w:val="页脚 Char"/>
    <w:basedOn w:val="11"/>
    <w:link w:val="6"/>
    <w:uiPriority w:val="99"/>
    <w:rPr>
      <w:rFonts w:ascii="Times New Roman" w:hAnsi="Times New Roman" w:eastAsia="宋体"/>
      <w:sz w:val="18"/>
      <w:szCs w:val="18"/>
    </w:rPr>
  </w:style>
  <w:style w:type="character" w:customStyle="1" w:styleId="21">
    <w:name w:val="标题 2 Char"/>
    <w:basedOn w:val="11"/>
    <w:link w:val="3"/>
    <w:uiPriority w:val="9"/>
    <w:rPr>
      <w:rFonts w:ascii="仿宋_GB2312" w:hAnsi="Times New Roman" w:eastAsia="仿宋_GB2312" w:cs="黑体"/>
      <w:b/>
      <w:bCs/>
      <w:sz w:val="24"/>
      <w:szCs w:val="32"/>
    </w:rPr>
  </w:style>
  <w:style w:type="character" w:customStyle="1" w:styleId="22">
    <w:name w:val="标题 3 Char"/>
    <w:basedOn w:val="11"/>
    <w:link w:val="4"/>
    <w:semiHidden/>
    <w:uiPriority w:val="9"/>
    <w:rPr>
      <w:rFonts w:ascii="Times New Roman" w:hAnsi="Times New Roman" w:eastAsia="宋体"/>
      <w:b/>
      <w:bCs/>
      <w:sz w:val="32"/>
      <w:szCs w:val="32"/>
    </w:rPr>
  </w:style>
  <w:style w:type="character" w:customStyle="1" w:styleId="23">
    <w:name w:val="正文格式 Char"/>
    <w:link w:val="15"/>
    <w:locked/>
    <w:uiPriority w:val="0"/>
    <w:rPr>
      <w:rFonts w:ascii="楷体_GB2312" w:eastAsia="楷体_GB2312" w:cs="宋体"/>
      <w:color w:val="00000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theme" Target="theme/theme1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sjy</Company>
  <Pages>11</Pages>
  <Words>758</Words>
  <Characters>4326</Characters>
  <Lines>36</Lines>
  <Paragraphs>10</Paragraphs>
  <ScaleCrop>false</ScaleCrop>
  <LinksUpToDate>false</LinksUpToDate>
  <CharactersWithSpaces>0</CharactersWithSpaces>
  <Application>WPS Office 个人版_9.1.0.4866_{F1E327BC-269C-435d-A152-05C5408002CA}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2014-12-07T11:05:00Z</dcterms:created>
  <dc:creator>徐毅</dc:creator>
  <cp:lastModifiedBy>Administrator</cp:lastModifiedBy>
  <cp:lastPrinted>2014-12-23T03:59:00Z</cp:lastPrinted>
  <dcterms:modified xsi:type="dcterms:W3CDTF">2015-01-12T02:39:41Z</dcterms:modified>
  <dc:title>目录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2052-9.1.0.4866</vt:lpwstr>
  </property>
</Properties>
</file>