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left="1200" w:right="120" w:rightChars="50"/>
        <w:jc w:val="center"/>
        <w:rPr>
          <w:rFonts w:ascii="仿宋" w:hAnsi="仿宋" w:eastAsia="仿宋"/>
          <w:b/>
          <w:iCs/>
          <w:lang w:val="it-IT"/>
        </w:rPr>
      </w:pPr>
      <w:bookmarkStart w:id="0" w:name="_GoBack"/>
      <w:bookmarkEnd w:id="0"/>
      <w:r>
        <w:rPr>
          <w:rFonts w:hint="eastAsia" w:ascii="仿宋" w:hAnsi="仿宋" w:eastAsia="仿宋"/>
          <w:b/>
          <w:iCs/>
          <w:lang w:val="it-IT"/>
        </w:rPr>
        <w:t>照明灯具、开关、插座等装置技术要求</w:t>
      </w:r>
    </w:p>
    <w:p>
      <w:pPr>
        <w:numPr>
          <w:ilvl w:val="0"/>
          <w:numId w:val="1"/>
        </w:numPr>
        <w:spacing w:line="360" w:lineRule="auto"/>
        <w:ind w:right="120" w:rightChars="50"/>
        <w:rPr>
          <w:rFonts w:ascii="仿宋" w:hAnsi="仿宋" w:eastAsia="仿宋"/>
          <w:iCs/>
          <w:lang w:val="it-IT"/>
        </w:rPr>
      </w:pPr>
      <w:r>
        <w:rPr>
          <w:rFonts w:hint="eastAsia" w:ascii="仿宋" w:hAnsi="仿宋" w:eastAsia="仿宋"/>
          <w:iCs/>
          <w:lang w:val="it-IT"/>
        </w:rPr>
        <w:t>执行的标准</w:t>
      </w:r>
    </w:p>
    <w:p>
      <w:pPr>
        <w:widowControl w:val="0"/>
        <w:numPr>
          <w:ilvl w:val="0"/>
          <w:numId w:val="2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GB</w:t>
      </w:r>
      <w:r>
        <w:rPr>
          <w:rFonts w:ascii="仿宋" w:hAnsi="仿宋" w:eastAsia="仿宋"/>
          <w:szCs w:val="28"/>
        </w:rPr>
        <w:t xml:space="preserve"> </w:t>
      </w:r>
      <w:r>
        <w:rPr>
          <w:rFonts w:hint="eastAsia" w:ascii="仿宋" w:hAnsi="仿宋" w:eastAsia="仿宋"/>
          <w:szCs w:val="28"/>
        </w:rPr>
        <w:t>7000-2007</w:t>
      </w:r>
      <w:r>
        <w:rPr>
          <w:rFonts w:hint="eastAsia" w:ascii="仿宋" w:hAnsi="仿宋" w:eastAsia="仿宋"/>
          <w:szCs w:val="28"/>
        </w:rPr>
        <w:tab/>
      </w:r>
      <w:r>
        <w:rPr>
          <w:rFonts w:hint="eastAsia" w:ascii="仿宋" w:hAnsi="仿宋" w:eastAsia="仿宋"/>
          <w:szCs w:val="28"/>
        </w:rPr>
        <w:t>《灯具一般安全要求》</w:t>
      </w:r>
    </w:p>
    <w:p>
      <w:pPr>
        <w:widowControl w:val="0"/>
        <w:numPr>
          <w:ilvl w:val="0"/>
          <w:numId w:val="2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GB</w:t>
      </w:r>
      <w:r>
        <w:rPr>
          <w:rFonts w:ascii="仿宋" w:hAnsi="仿宋" w:eastAsia="仿宋"/>
          <w:szCs w:val="28"/>
        </w:rPr>
        <w:t xml:space="preserve"> </w:t>
      </w:r>
      <w:r>
        <w:rPr>
          <w:rFonts w:hint="eastAsia" w:ascii="仿宋" w:hAnsi="仿宋" w:eastAsia="仿宋"/>
          <w:szCs w:val="28"/>
        </w:rPr>
        <w:t>7000.2-2008《</w:t>
      </w:r>
      <w:r>
        <w:rPr>
          <w:rFonts w:ascii="仿宋" w:hAnsi="仿宋" w:eastAsia="仿宋"/>
          <w:szCs w:val="28"/>
        </w:rPr>
        <w:t>特殊要求应急照明灯具</w:t>
      </w:r>
      <w:r>
        <w:rPr>
          <w:rFonts w:hint="eastAsia" w:ascii="仿宋" w:hAnsi="仿宋" w:eastAsia="仿宋"/>
          <w:szCs w:val="28"/>
        </w:rPr>
        <w:t>》</w:t>
      </w:r>
      <w:r>
        <w:rPr>
          <w:rFonts w:ascii="仿宋" w:hAnsi="仿宋" w:eastAsia="仿宋"/>
          <w:szCs w:val="28"/>
        </w:rPr>
        <w:t xml:space="preserve"> </w:t>
      </w:r>
    </w:p>
    <w:p>
      <w:pPr>
        <w:widowControl w:val="0"/>
        <w:numPr>
          <w:ilvl w:val="0"/>
          <w:numId w:val="2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GB</w:t>
      </w:r>
      <w:r>
        <w:rPr>
          <w:rFonts w:ascii="仿宋" w:hAnsi="仿宋" w:eastAsia="仿宋"/>
          <w:szCs w:val="28"/>
        </w:rPr>
        <w:t xml:space="preserve"> </w:t>
      </w:r>
      <w:r>
        <w:rPr>
          <w:rFonts w:hint="eastAsia" w:ascii="仿宋" w:hAnsi="仿宋" w:eastAsia="仿宋"/>
          <w:szCs w:val="28"/>
        </w:rPr>
        <w:t>13260-1991《</w:t>
      </w:r>
      <w:r>
        <w:rPr>
          <w:rFonts w:ascii="仿宋" w:hAnsi="仿宋" w:eastAsia="仿宋"/>
          <w:szCs w:val="28"/>
        </w:rPr>
        <w:t>管形荧光灯座和启动器座型式和尺寸</w:t>
      </w:r>
      <w:r>
        <w:rPr>
          <w:rFonts w:hint="eastAsia" w:ascii="仿宋" w:hAnsi="仿宋" w:eastAsia="仿宋"/>
          <w:szCs w:val="28"/>
        </w:rPr>
        <w:t>》</w:t>
      </w:r>
    </w:p>
    <w:p>
      <w:pPr>
        <w:widowControl w:val="0"/>
        <w:numPr>
          <w:ilvl w:val="0"/>
          <w:numId w:val="2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GB</w:t>
      </w:r>
      <w:r>
        <w:rPr>
          <w:rFonts w:ascii="仿宋" w:hAnsi="仿宋" w:eastAsia="仿宋"/>
          <w:szCs w:val="28"/>
        </w:rPr>
        <w:t xml:space="preserve"> </w:t>
      </w:r>
      <w:r>
        <w:rPr>
          <w:rFonts w:hint="eastAsia" w:ascii="仿宋" w:hAnsi="仿宋" w:eastAsia="仿宋"/>
          <w:szCs w:val="28"/>
        </w:rPr>
        <w:t>15143-1994《</w:t>
      </w:r>
      <w:r>
        <w:rPr>
          <w:rFonts w:ascii="仿宋" w:hAnsi="仿宋" w:eastAsia="仿宋"/>
          <w:szCs w:val="28"/>
        </w:rPr>
        <w:t>管形荧光灯用交流电子镇流器一般要求和安全要求</w:t>
      </w:r>
      <w:r>
        <w:rPr>
          <w:rFonts w:hint="eastAsia" w:ascii="仿宋" w:hAnsi="仿宋" w:eastAsia="仿宋"/>
          <w:szCs w:val="28"/>
        </w:rPr>
        <w:t>》</w:t>
      </w:r>
    </w:p>
    <w:p>
      <w:pPr>
        <w:widowControl w:val="0"/>
        <w:numPr>
          <w:ilvl w:val="0"/>
          <w:numId w:val="2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GB</w:t>
      </w:r>
      <w:r>
        <w:rPr>
          <w:rFonts w:ascii="仿宋" w:hAnsi="仿宋" w:eastAsia="仿宋"/>
          <w:szCs w:val="28"/>
        </w:rPr>
        <w:t xml:space="preserve"> </w:t>
      </w:r>
      <w:r>
        <w:rPr>
          <w:rFonts w:hint="eastAsia" w:ascii="仿宋" w:hAnsi="仿宋" w:eastAsia="仿宋"/>
          <w:szCs w:val="28"/>
        </w:rPr>
        <w:t>17625.1-2012《</w:t>
      </w:r>
      <w:r>
        <w:rPr>
          <w:rFonts w:ascii="仿宋" w:hAnsi="仿宋" w:eastAsia="仿宋"/>
          <w:szCs w:val="28"/>
        </w:rPr>
        <w:t>电磁兼容限值谐波电流发射限值(设备每相输入电流≤16A)</w:t>
      </w:r>
      <w:r>
        <w:rPr>
          <w:rFonts w:hint="eastAsia" w:ascii="仿宋" w:hAnsi="仿宋" w:eastAsia="仿宋"/>
          <w:szCs w:val="28"/>
        </w:rPr>
        <w:t>》</w:t>
      </w:r>
    </w:p>
    <w:p>
      <w:pPr>
        <w:widowControl w:val="0"/>
        <w:numPr>
          <w:ilvl w:val="0"/>
          <w:numId w:val="2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GB</w:t>
      </w:r>
      <w:r>
        <w:rPr>
          <w:rFonts w:ascii="仿宋" w:hAnsi="仿宋" w:eastAsia="仿宋"/>
          <w:szCs w:val="28"/>
        </w:rPr>
        <w:t xml:space="preserve"> </w:t>
      </w:r>
      <w:r>
        <w:rPr>
          <w:rFonts w:hint="eastAsia" w:ascii="仿宋" w:hAnsi="仿宋" w:eastAsia="仿宋"/>
          <w:szCs w:val="28"/>
        </w:rPr>
        <w:t>17743-2007《</w:t>
      </w:r>
      <w:r>
        <w:rPr>
          <w:rFonts w:ascii="仿宋" w:hAnsi="仿宋" w:eastAsia="仿宋"/>
          <w:szCs w:val="28"/>
        </w:rPr>
        <w:t>电气照明和类似设备的无线电骚扰特性的限值和测量方法</w:t>
      </w:r>
      <w:r>
        <w:rPr>
          <w:rFonts w:hint="eastAsia" w:ascii="仿宋" w:hAnsi="仿宋" w:eastAsia="仿宋"/>
          <w:szCs w:val="28"/>
        </w:rPr>
        <w:t>》</w:t>
      </w:r>
    </w:p>
    <w:p>
      <w:pPr>
        <w:widowControl w:val="0"/>
        <w:numPr>
          <w:ilvl w:val="0"/>
          <w:numId w:val="2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GB</w:t>
      </w:r>
      <w:r>
        <w:rPr>
          <w:rFonts w:ascii="仿宋" w:hAnsi="仿宋" w:eastAsia="仿宋"/>
          <w:szCs w:val="28"/>
        </w:rPr>
        <w:t xml:space="preserve"> </w:t>
      </w:r>
      <w:r>
        <w:rPr>
          <w:rFonts w:hint="eastAsia" w:ascii="仿宋" w:hAnsi="仿宋" w:eastAsia="仿宋"/>
          <w:szCs w:val="28"/>
        </w:rPr>
        <w:t>17945-2010《</w:t>
      </w:r>
      <w:r>
        <w:rPr>
          <w:rFonts w:ascii="仿宋" w:hAnsi="仿宋" w:eastAsia="仿宋"/>
          <w:szCs w:val="28"/>
        </w:rPr>
        <w:t>消防应急照明和疏散指示系统</w:t>
      </w:r>
      <w:r>
        <w:rPr>
          <w:rFonts w:hint="eastAsia" w:ascii="仿宋" w:hAnsi="仿宋" w:eastAsia="仿宋"/>
          <w:szCs w:val="28"/>
        </w:rPr>
        <w:t>》</w:t>
      </w:r>
    </w:p>
    <w:p>
      <w:pPr>
        <w:widowControl w:val="0"/>
        <w:numPr>
          <w:ilvl w:val="0"/>
          <w:numId w:val="2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GB</w:t>
      </w:r>
      <w:r>
        <w:rPr>
          <w:rFonts w:ascii="仿宋" w:hAnsi="仿宋" w:eastAsia="仿宋"/>
          <w:szCs w:val="28"/>
        </w:rPr>
        <w:t xml:space="preserve"> </w:t>
      </w:r>
      <w:r>
        <w:rPr>
          <w:rFonts w:hint="eastAsia" w:ascii="仿宋" w:hAnsi="仿宋" w:eastAsia="仿宋"/>
          <w:szCs w:val="28"/>
        </w:rPr>
        <w:t>4208-2008《</w:t>
      </w:r>
      <w:r>
        <w:rPr>
          <w:rFonts w:ascii="仿宋" w:hAnsi="仿宋" w:eastAsia="仿宋"/>
          <w:szCs w:val="28"/>
        </w:rPr>
        <w:t>外壳防护等级(IP代码)</w:t>
      </w:r>
      <w:r>
        <w:rPr>
          <w:rFonts w:hint="eastAsia" w:ascii="仿宋" w:hAnsi="仿宋" w:eastAsia="仿宋"/>
          <w:szCs w:val="28"/>
        </w:rPr>
        <w:t>》</w:t>
      </w:r>
    </w:p>
    <w:p>
      <w:pPr>
        <w:widowControl w:val="0"/>
        <w:numPr>
          <w:ilvl w:val="0"/>
          <w:numId w:val="2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GB</w:t>
      </w:r>
      <w:r>
        <w:rPr>
          <w:rFonts w:ascii="仿宋" w:hAnsi="仿宋" w:eastAsia="仿宋"/>
          <w:szCs w:val="28"/>
        </w:rPr>
        <w:t xml:space="preserve"> </w:t>
      </w:r>
      <w:r>
        <w:rPr>
          <w:rFonts w:hint="eastAsia" w:ascii="仿宋" w:hAnsi="仿宋" w:eastAsia="仿宋"/>
          <w:szCs w:val="28"/>
        </w:rPr>
        <w:t>50054-2011《</w:t>
      </w:r>
      <w:r>
        <w:rPr>
          <w:rFonts w:ascii="仿宋" w:hAnsi="仿宋" w:eastAsia="仿宋"/>
          <w:szCs w:val="28"/>
        </w:rPr>
        <w:t>低压配电设计规范</w:t>
      </w:r>
      <w:r>
        <w:rPr>
          <w:rFonts w:hint="eastAsia" w:ascii="仿宋" w:hAnsi="仿宋" w:eastAsia="仿宋"/>
          <w:szCs w:val="28"/>
        </w:rPr>
        <w:t>》</w:t>
      </w:r>
    </w:p>
    <w:p>
      <w:pPr>
        <w:widowControl w:val="0"/>
        <w:numPr>
          <w:ilvl w:val="0"/>
          <w:numId w:val="2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GB</w:t>
      </w:r>
      <w:r>
        <w:rPr>
          <w:rFonts w:ascii="仿宋" w:hAnsi="仿宋" w:eastAsia="仿宋"/>
          <w:szCs w:val="28"/>
        </w:rPr>
        <w:t xml:space="preserve"> </w:t>
      </w:r>
      <w:r>
        <w:rPr>
          <w:rFonts w:hint="eastAsia" w:ascii="仿宋" w:hAnsi="仿宋" w:eastAsia="仿宋"/>
          <w:szCs w:val="28"/>
        </w:rPr>
        <w:t>16915.1-2014《</w:t>
      </w:r>
      <w:r>
        <w:rPr>
          <w:rFonts w:ascii="仿宋" w:hAnsi="仿宋" w:eastAsia="仿宋"/>
          <w:szCs w:val="28"/>
        </w:rPr>
        <w:t>家用和类似用途固定式电气装置的开关第1部分通用要求</w:t>
      </w:r>
      <w:r>
        <w:rPr>
          <w:rFonts w:hint="eastAsia" w:ascii="仿宋" w:hAnsi="仿宋" w:eastAsia="仿宋"/>
          <w:szCs w:val="28"/>
        </w:rPr>
        <w:t>》</w:t>
      </w:r>
    </w:p>
    <w:p>
      <w:pPr>
        <w:widowControl w:val="0"/>
        <w:numPr>
          <w:ilvl w:val="0"/>
          <w:numId w:val="2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GB</w:t>
      </w:r>
      <w:r>
        <w:rPr>
          <w:rFonts w:ascii="仿宋" w:hAnsi="仿宋" w:eastAsia="仿宋"/>
          <w:szCs w:val="28"/>
        </w:rPr>
        <w:t xml:space="preserve"> </w:t>
      </w:r>
      <w:r>
        <w:rPr>
          <w:rFonts w:hint="eastAsia" w:ascii="仿宋" w:hAnsi="仿宋" w:eastAsia="仿宋"/>
          <w:szCs w:val="28"/>
        </w:rPr>
        <w:t>2099.1-2008《</w:t>
      </w:r>
      <w:r>
        <w:rPr>
          <w:rFonts w:ascii="仿宋" w:hAnsi="仿宋" w:eastAsia="仿宋"/>
          <w:szCs w:val="28"/>
        </w:rPr>
        <w:t>家用和类似用途插头插座第1部分:通用要求</w:t>
      </w:r>
      <w:r>
        <w:rPr>
          <w:rFonts w:hint="eastAsia" w:ascii="仿宋" w:hAnsi="仿宋" w:eastAsia="仿宋"/>
          <w:szCs w:val="28"/>
        </w:rPr>
        <w:t>》</w:t>
      </w:r>
    </w:p>
    <w:p>
      <w:pPr>
        <w:widowControl w:val="0"/>
        <w:numPr>
          <w:ilvl w:val="0"/>
          <w:numId w:val="2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GB</w:t>
      </w:r>
      <w:r>
        <w:rPr>
          <w:rFonts w:ascii="仿宋" w:hAnsi="仿宋" w:eastAsia="仿宋"/>
          <w:szCs w:val="28"/>
        </w:rPr>
        <w:t xml:space="preserve"> </w:t>
      </w:r>
      <w:r>
        <w:rPr>
          <w:rFonts w:hint="eastAsia" w:ascii="仿宋" w:hAnsi="仿宋" w:eastAsia="仿宋"/>
          <w:szCs w:val="28"/>
        </w:rPr>
        <w:t>2099.2-2012《</w:t>
      </w:r>
      <w:r>
        <w:rPr>
          <w:rFonts w:ascii="仿宋" w:hAnsi="仿宋" w:eastAsia="仿宋"/>
          <w:szCs w:val="28"/>
        </w:rPr>
        <w:t>家用和类似用途插头插座第2部分:器具插座的特殊要求</w:t>
      </w:r>
      <w:r>
        <w:rPr>
          <w:rFonts w:hint="eastAsia" w:ascii="仿宋" w:hAnsi="仿宋" w:eastAsia="仿宋"/>
          <w:szCs w:val="28"/>
        </w:rPr>
        <w:t>》</w:t>
      </w:r>
    </w:p>
    <w:p>
      <w:pPr>
        <w:numPr>
          <w:ilvl w:val="0"/>
          <w:numId w:val="1"/>
        </w:numPr>
        <w:spacing w:line="360" w:lineRule="auto"/>
        <w:ind w:right="120" w:rightChars="50"/>
        <w:rPr>
          <w:rFonts w:ascii="仿宋" w:hAnsi="仿宋" w:eastAsia="仿宋"/>
          <w:iCs/>
          <w:lang w:val="it-IT"/>
        </w:rPr>
      </w:pPr>
      <w:r>
        <w:rPr>
          <w:rFonts w:hint="eastAsia" w:ascii="仿宋" w:hAnsi="仿宋" w:eastAsia="仿宋"/>
          <w:iCs/>
          <w:lang w:val="it-IT"/>
        </w:rPr>
        <w:t>灯具及光源等技术要求</w:t>
      </w:r>
    </w:p>
    <w:p>
      <w:pPr>
        <w:widowControl w:val="0"/>
        <w:numPr>
          <w:ilvl w:val="0"/>
          <w:numId w:val="2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基本要求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投标人须对本标书供货范围内的照明灯具的完整性负责，提供安装所需的全部附件。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供货产品的制造商须具有五年以上制造同类产品的经验，通过ISO9001（或等同）认证，产品通过3C认证，应急照明灯具应获得消防检验合格证书。并提供证书复印件。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灯具及光源供货前，投标人应提供产品样品供招标人确认。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所有光源均采用LED光源。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所有控制装置和荧光灯由同一厂商生产。</w:t>
      </w:r>
    </w:p>
    <w:p>
      <w:pPr>
        <w:widowControl w:val="0"/>
        <w:numPr>
          <w:ilvl w:val="0"/>
          <w:numId w:val="2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防眩格栅灯具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照明装置的支架外壳须用0.5mm厚以上的高质量冷轧钢板或铝合金型材制成，为整套装置提供牢固防锈高质量的底座。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照明装置的所有电气控制须全部安装在装配组合上，用作开关控制操作。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LED灯应采用恒流驱动器，恒流误差在±3%以内。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光输出量比例须≥0.65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格栅灯采用的LED灯盘应能与T8、T5灯管相互替换，灯盘防眩光指数UGR小于19，光照均匀舒适，使用寿命大于5万小时，光效大于80Lm/W，色温4000K。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装置内电线须采用摄氏105度450V级阻燃线，线径≥1.5mm2，所有电线和配件须隐蔽及牢固固定。</w:t>
      </w:r>
    </w:p>
    <w:p>
      <w:pPr>
        <w:widowControl w:val="0"/>
        <w:numPr>
          <w:ilvl w:val="0"/>
          <w:numId w:val="2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LED光源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宽电压设计，AC250V以下正常使用；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灯管长度1200mm，一体式灯管设计，恒流驱动器，LED灯管平均使用寿命不低于5万小时；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功率不低于16W，功率因数大于0.95；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光通量不低于2400流明；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显色指数大于80Ra；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色温6500K；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IEC6247光生物安全认证，无蓝光危害；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配同品牌原厂灯具和反光板；</w:t>
      </w:r>
    </w:p>
    <w:p>
      <w:pPr>
        <w:widowControl w:val="0"/>
        <w:numPr>
          <w:ilvl w:val="0"/>
          <w:numId w:val="2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安全疏散指示灯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采用超薄型，光源采用LED或EL（场致屏）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灯具应表面亮度高，发光应均匀柔和。</w:t>
      </w:r>
    </w:p>
    <w:p>
      <w:pPr>
        <w:widowControl w:val="0"/>
        <w:numPr>
          <w:ilvl w:val="0"/>
          <w:numId w:val="2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吸顶灯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吸顶灯采用LED灯盘，灯盘防眩光指数UGR小于19，光照均匀舒适，使用寿命大于3万小时，光效大于80Lm/W，色温4000K。吸顶灯内整流器及自控装置必须牢固吸顶安装在灯具底盘上，不得随意悬挂在灯具内产生挡光阴影。</w:t>
      </w:r>
    </w:p>
    <w:p>
      <w:pPr>
        <w:numPr>
          <w:ilvl w:val="0"/>
          <w:numId w:val="1"/>
        </w:numPr>
        <w:spacing w:line="360" w:lineRule="auto"/>
        <w:ind w:right="120" w:rightChars="50"/>
        <w:rPr>
          <w:rFonts w:ascii="仿宋" w:hAnsi="仿宋" w:eastAsia="仿宋"/>
          <w:iCs/>
          <w:lang w:val="it-IT"/>
        </w:rPr>
      </w:pPr>
      <w:r>
        <w:rPr>
          <w:rFonts w:hint="eastAsia" w:ascii="仿宋" w:hAnsi="仿宋" w:eastAsia="仿宋"/>
          <w:iCs/>
          <w:lang w:val="it-IT"/>
        </w:rPr>
        <w:t>开关技术要求</w:t>
      </w:r>
    </w:p>
    <w:p>
      <w:pPr>
        <w:widowControl w:val="0"/>
        <w:numPr>
          <w:ilvl w:val="0"/>
          <w:numId w:val="2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电气参数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额定电压：250V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额定电流：10A（图纸另有要求除外）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开关寿命：≥4万次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爬电距离：≥3mm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电气间隙：分隔的带电部件之间≥1.2mm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开关触点：动静触点断开时，绝缘电阻≥5兆欧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开关与负荷连接时，其额定值不得降低</w:t>
      </w:r>
    </w:p>
    <w:p>
      <w:pPr>
        <w:widowControl w:val="0"/>
        <w:numPr>
          <w:ilvl w:val="0"/>
          <w:numId w:val="2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材质要求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面板采用优质PC料，要求抗冲击、阻燃、耐高温，在各种恶劣环境下都能正常使用，不易发黄变色耐老化。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触点采用银镍合金，刚性强、硬度高、触点不变形，使用寿命长。</w:t>
      </w:r>
    </w:p>
    <w:p>
      <w:pPr>
        <w:widowControl w:val="0"/>
        <w:numPr>
          <w:ilvl w:val="0"/>
          <w:numId w:val="2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外观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表面应具有良好的光泽，简洁大方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翘板设计无摩擦、着力均匀，拨动无卡位现象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开关接线端子应能可靠连接2根2.5mm2的导线</w:t>
      </w:r>
    </w:p>
    <w:p>
      <w:pPr>
        <w:widowControl w:val="0"/>
        <w:numPr>
          <w:ilvl w:val="0"/>
          <w:numId w:val="2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性能试验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电气强度和耐潮性能试验：不得发生电击或闪络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耐热性能试验：压痕直径≤2mm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热老化性能试验：弹性件不得失效，绝缘件不得开裂、变形</w:t>
      </w:r>
    </w:p>
    <w:p>
      <w:pPr>
        <w:numPr>
          <w:ilvl w:val="0"/>
          <w:numId w:val="1"/>
        </w:numPr>
        <w:spacing w:line="360" w:lineRule="auto"/>
        <w:ind w:right="120" w:rightChars="50"/>
        <w:rPr>
          <w:rFonts w:ascii="仿宋" w:hAnsi="仿宋" w:eastAsia="仿宋"/>
          <w:iCs/>
          <w:lang w:val="it-IT"/>
        </w:rPr>
      </w:pPr>
      <w:r>
        <w:rPr>
          <w:rFonts w:hint="eastAsia" w:ascii="仿宋" w:hAnsi="仿宋" w:eastAsia="仿宋"/>
          <w:iCs/>
          <w:lang w:val="it-IT"/>
        </w:rPr>
        <w:t>插座技术要求</w:t>
      </w:r>
    </w:p>
    <w:p>
      <w:pPr>
        <w:widowControl w:val="0"/>
        <w:numPr>
          <w:ilvl w:val="0"/>
          <w:numId w:val="2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电气参数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额定电压：250V/380V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额定电流：10A、16A（图纸另有要求除外）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插拔次数：≥10000次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爬电距离：≥3mm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电气间隙：≥3mm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插座铜片：厚度≥0.6mm，不同极性间绝缘电阻≥5兆欧</w:t>
      </w:r>
    </w:p>
    <w:p>
      <w:pPr>
        <w:widowControl w:val="0"/>
        <w:numPr>
          <w:ilvl w:val="0"/>
          <w:numId w:val="2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材质要求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面板采用优质PC料，要求抗冲击、阻燃、耐高温，在各种恶劣环境下都能正常使用，不易发黄变色耐老化。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插座铜触片采用优质的磷青铜，内部导电结构设计弯曲形变小、持久力强、回复性好，采用温升小、导电率高的材料，保证其经久耐用，使用寿命长。</w:t>
      </w:r>
    </w:p>
    <w:p>
      <w:pPr>
        <w:widowControl w:val="0"/>
        <w:numPr>
          <w:ilvl w:val="0"/>
          <w:numId w:val="2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外观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表面应具有良好的光泽，简洁大方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采用86系列，单相插座二、三插可同时插入二插和三插插头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三相四线/三相五线，紧密叠压结构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接线端子应能可靠连接2根2.5mm2（10A）、2根4mm2（16A）、2根6mm2（25A）的导线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接地端子应可靠连接到接地端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所有单相插座带保护活门，各插座须带回路编号的标志</w:t>
      </w:r>
    </w:p>
    <w:p>
      <w:pPr>
        <w:widowControl w:val="0"/>
        <w:numPr>
          <w:ilvl w:val="0"/>
          <w:numId w:val="2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性能试验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电气强度和耐潮性能试验：不得发生电击或闪络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耐热性能试验：压痕直径≤2mm</w:t>
      </w:r>
    </w:p>
    <w:p>
      <w:pPr>
        <w:widowControl w:val="0"/>
        <w:numPr>
          <w:ilvl w:val="0"/>
          <w:numId w:val="3"/>
        </w:numPr>
        <w:tabs>
          <w:tab w:val="left" w:pos="900"/>
        </w:tabs>
        <w:spacing w:line="360" w:lineRule="auto"/>
        <w:jc w:val="both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热老化性能试验：弹性件不得失效，绝缘件不得开裂、变形</w:t>
      </w:r>
    </w:p>
    <w:p>
      <w:r>
        <w:rPr>
          <w:rFonts w:hint="eastAsia"/>
        </w:rPr>
        <w:t>供应商提供样品展示板，展示样品不得少于清单要求项目。展板上应注明样品名称、型号、品牌。展板样品不计价。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36DE5"/>
    <w:multiLevelType w:val="multilevel"/>
    <w:tmpl w:val="0D936DE5"/>
    <w:lvl w:ilvl="0" w:tentative="0">
      <w:start w:val="1"/>
      <w:numFmt w:val="bullet"/>
      <w:lvlText w:val=""/>
      <w:lvlJc w:val="left"/>
      <w:pPr>
        <w:ind w:left="1545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965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2385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805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3225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645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4065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4485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905" w:hanging="420"/>
      </w:pPr>
      <w:rPr>
        <w:rFonts w:hint="default" w:ascii="Wingdings" w:hAnsi="Wingdings"/>
      </w:rPr>
    </w:lvl>
  </w:abstractNum>
  <w:abstractNum w:abstractNumId="1">
    <w:nsid w:val="13B0716F"/>
    <w:multiLevelType w:val="multilevel"/>
    <w:tmpl w:val="13B0716F"/>
    <w:lvl w:ilvl="0" w:tentative="0">
      <w:start w:val="1"/>
      <w:numFmt w:val="decimal"/>
      <w:lvlText w:val="%1)"/>
      <w:lvlJc w:val="left"/>
      <w:pPr>
        <w:ind w:left="900" w:hanging="420"/>
      </w:pPr>
    </w:lvl>
    <w:lvl w:ilvl="1" w:tentative="0">
      <w:start w:val="1"/>
      <w:numFmt w:val="lowerLetter"/>
      <w:lvlText w:val="%2)"/>
      <w:lvlJc w:val="left"/>
      <w:pPr>
        <w:ind w:left="1320" w:hanging="420"/>
      </w:pPr>
    </w:lvl>
    <w:lvl w:ilvl="2" w:tentative="0">
      <w:start w:val="1"/>
      <w:numFmt w:val="lowerRoman"/>
      <w:lvlText w:val="%3."/>
      <w:lvlJc w:val="right"/>
      <w:pPr>
        <w:ind w:left="1740" w:hanging="420"/>
      </w:pPr>
    </w:lvl>
    <w:lvl w:ilvl="3" w:tentative="0">
      <w:start w:val="1"/>
      <w:numFmt w:val="decimal"/>
      <w:lvlText w:val="%4."/>
      <w:lvlJc w:val="left"/>
      <w:pPr>
        <w:ind w:left="2160" w:hanging="420"/>
      </w:pPr>
    </w:lvl>
    <w:lvl w:ilvl="4" w:tentative="0">
      <w:start w:val="1"/>
      <w:numFmt w:val="lowerLetter"/>
      <w:lvlText w:val="%5)"/>
      <w:lvlJc w:val="left"/>
      <w:pPr>
        <w:ind w:left="2580" w:hanging="420"/>
      </w:pPr>
    </w:lvl>
    <w:lvl w:ilvl="5" w:tentative="0">
      <w:start w:val="1"/>
      <w:numFmt w:val="lowerRoman"/>
      <w:lvlText w:val="%6."/>
      <w:lvlJc w:val="right"/>
      <w:pPr>
        <w:ind w:left="3000" w:hanging="420"/>
      </w:pPr>
    </w:lvl>
    <w:lvl w:ilvl="6" w:tentative="0">
      <w:start w:val="1"/>
      <w:numFmt w:val="decimal"/>
      <w:lvlText w:val="%7."/>
      <w:lvlJc w:val="left"/>
      <w:pPr>
        <w:ind w:left="3420" w:hanging="420"/>
      </w:pPr>
    </w:lvl>
    <w:lvl w:ilvl="7" w:tentative="0">
      <w:start w:val="1"/>
      <w:numFmt w:val="lowerLetter"/>
      <w:lvlText w:val="%8)"/>
      <w:lvlJc w:val="left"/>
      <w:pPr>
        <w:ind w:left="3840" w:hanging="420"/>
      </w:pPr>
    </w:lvl>
    <w:lvl w:ilvl="8" w:tentative="0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445A7980"/>
    <w:multiLevelType w:val="multilevel"/>
    <w:tmpl w:val="445A7980"/>
    <w:lvl w:ilvl="0" w:tentative="0">
      <w:start w:val="1"/>
      <w:numFmt w:val="bullet"/>
      <w:lvlText w:val=""/>
      <w:lvlJc w:val="left"/>
      <w:pPr>
        <w:ind w:left="1545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965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2385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805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3225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645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4065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4485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905" w:hanging="42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713"/>
    <w:rsid w:val="001F0C01"/>
    <w:rsid w:val="001F780A"/>
    <w:rsid w:val="005D475B"/>
    <w:rsid w:val="007B7E6A"/>
    <w:rsid w:val="009F3719"/>
    <w:rsid w:val="00B4208C"/>
    <w:rsid w:val="00DB5713"/>
    <w:rsid w:val="00E02C0C"/>
    <w:rsid w:val="365304AF"/>
    <w:rsid w:val="473B2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Georgia" w:hAnsi="Georgia" w:eastAsia="宋体" w:cs="Times New Roman"/>
      <w:kern w:val="0"/>
      <w:sz w:val="24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4</Pages>
  <Words>307</Words>
  <Characters>1754</Characters>
  <Lines>14</Lines>
  <Paragraphs>4</Paragraphs>
  <TotalTime>249</TotalTime>
  <ScaleCrop>false</ScaleCrop>
  <LinksUpToDate>false</LinksUpToDate>
  <CharactersWithSpaces>2057</CharactersWithSpaces>
  <Application>WPS Office_11.3.0.8586_F1E327BC-269C-435d-A152-05C5408002CA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2019-05-10T01:46:00Z</dcterms:created>
  <dc:creator>Administrator</dc:creator>
  <cp:lastModifiedBy>zhoulei0406</cp:lastModifiedBy>
  <cp:lastPrinted>2019-05-06T07:24:00Z</cp:lastPrinted>
  <dcterms:modified xsi:type="dcterms:W3CDTF">2019-05-10T06:38:29Z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2052-11.3.0.8586</vt:lpwstr>
  </property>
</Properties>
</file>