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textAlignment w:val="center"/>
        <w:rPr>
          <w:rFonts w:ascii="Tahoma" w:hAnsi="Tahoma" w:cs="Tahoma"/>
          <w:color w:val="000000"/>
          <w:szCs w:val="21"/>
          <w:shd w:val="clear" w:color="auto" w:fill="FFFFFF"/>
        </w:rPr>
      </w:pPr>
      <w:bookmarkStart w:id="0" w:name="_GoBack"/>
      <w:bookmarkEnd w:id="0"/>
      <w:r>
        <w:rPr>
          <w:rFonts w:hint="eastAsia"/>
          <w:b/>
          <w:bCs/>
          <w:sz w:val="32"/>
          <w:szCs w:val="32"/>
          <w:lang w:val="en-US" w:eastAsia="zh-CN"/>
        </w:rPr>
        <w:t>电动执行器</w:t>
      </w:r>
      <w:r>
        <w:rPr>
          <w:rFonts w:hint="eastAsia"/>
          <w:b/>
          <w:bCs/>
          <w:sz w:val="32"/>
          <w:szCs w:val="32"/>
        </w:rPr>
        <w:t>等采购技术要求</w:t>
      </w:r>
    </w:p>
    <w:p>
      <w:pPr>
        <w:tabs>
          <w:tab w:val="left" w:pos="3111"/>
        </w:tabs>
        <w:jc w:val="left"/>
        <w:rPr>
          <w:b/>
          <w:sz w:val="28"/>
          <w:szCs w:val="28"/>
        </w:rPr>
      </w:pPr>
      <w:r>
        <w:rPr>
          <w:rFonts w:hint="eastAsia"/>
          <w:b/>
          <w:sz w:val="28"/>
          <w:szCs w:val="28"/>
        </w:rPr>
        <w:t>一、备件采购名称，规格型号数量</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126"/>
        <w:gridCol w:w="850"/>
        <w:gridCol w:w="86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7" w:type="dxa"/>
            <w:vAlign w:val="center"/>
          </w:tcPr>
          <w:p>
            <w:pPr>
              <w:tabs>
                <w:tab w:val="left" w:pos="3111"/>
              </w:tabs>
              <w:jc w:val="center"/>
              <w:rPr>
                <w:sz w:val="24"/>
              </w:rPr>
            </w:pPr>
            <w:r>
              <w:rPr>
                <w:rFonts w:hint="eastAsia"/>
                <w:sz w:val="24"/>
              </w:rPr>
              <w:t>序号</w:t>
            </w:r>
          </w:p>
        </w:tc>
        <w:tc>
          <w:tcPr>
            <w:tcW w:w="1985" w:type="dxa"/>
            <w:vAlign w:val="center"/>
          </w:tcPr>
          <w:p>
            <w:pPr>
              <w:tabs>
                <w:tab w:val="left" w:pos="3111"/>
              </w:tabs>
              <w:jc w:val="center"/>
              <w:rPr>
                <w:sz w:val="24"/>
              </w:rPr>
            </w:pPr>
            <w:r>
              <w:rPr>
                <w:rFonts w:hint="eastAsia"/>
                <w:sz w:val="24"/>
              </w:rPr>
              <w:t>备件名称</w:t>
            </w:r>
          </w:p>
        </w:tc>
        <w:tc>
          <w:tcPr>
            <w:tcW w:w="2126" w:type="dxa"/>
            <w:vAlign w:val="center"/>
          </w:tcPr>
          <w:p>
            <w:pPr>
              <w:tabs>
                <w:tab w:val="left" w:pos="3111"/>
              </w:tabs>
              <w:jc w:val="center"/>
              <w:rPr>
                <w:sz w:val="24"/>
              </w:rPr>
            </w:pPr>
            <w:r>
              <w:rPr>
                <w:rFonts w:hint="eastAsia"/>
                <w:sz w:val="24"/>
              </w:rPr>
              <w:t>规格型号</w:t>
            </w:r>
          </w:p>
        </w:tc>
        <w:tc>
          <w:tcPr>
            <w:tcW w:w="850" w:type="dxa"/>
            <w:vAlign w:val="center"/>
          </w:tcPr>
          <w:p>
            <w:pPr>
              <w:tabs>
                <w:tab w:val="left" w:pos="3111"/>
              </w:tabs>
              <w:jc w:val="center"/>
              <w:rPr>
                <w:sz w:val="24"/>
              </w:rPr>
            </w:pPr>
            <w:r>
              <w:rPr>
                <w:rFonts w:hint="eastAsia"/>
                <w:sz w:val="24"/>
              </w:rPr>
              <w:t>单位</w:t>
            </w:r>
          </w:p>
        </w:tc>
        <w:tc>
          <w:tcPr>
            <w:tcW w:w="861" w:type="dxa"/>
            <w:vAlign w:val="center"/>
          </w:tcPr>
          <w:p>
            <w:pPr>
              <w:tabs>
                <w:tab w:val="left" w:pos="3111"/>
              </w:tabs>
              <w:jc w:val="center"/>
              <w:rPr>
                <w:sz w:val="24"/>
              </w:rPr>
            </w:pPr>
            <w:r>
              <w:rPr>
                <w:rFonts w:hint="eastAsia"/>
                <w:sz w:val="24"/>
              </w:rPr>
              <w:t>数量</w:t>
            </w:r>
          </w:p>
        </w:tc>
        <w:tc>
          <w:tcPr>
            <w:tcW w:w="1880" w:type="dxa"/>
            <w:vAlign w:val="center"/>
          </w:tcPr>
          <w:p>
            <w:pPr>
              <w:tabs>
                <w:tab w:val="left" w:pos="3111"/>
              </w:tabs>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Align w:val="center"/>
          </w:tcPr>
          <w:p>
            <w:pPr>
              <w:tabs>
                <w:tab w:val="left" w:pos="3111"/>
              </w:tabs>
              <w:jc w:val="center"/>
              <w:rPr>
                <w:sz w:val="24"/>
              </w:rPr>
            </w:pPr>
            <w:r>
              <w:rPr>
                <w:rFonts w:hint="eastAsia"/>
                <w:sz w:val="24"/>
              </w:rPr>
              <w:t>1</w:t>
            </w:r>
          </w:p>
        </w:tc>
        <w:tc>
          <w:tcPr>
            <w:tcW w:w="1985" w:type="dxa"/>
            <w:vAlign w:val="center"/>
          </w:tcPr>
          <w:p>
            <w:pPr>
              <w:keepNext w:val="0"/>
              <w:keepLines w:val="0"/>
              <w:widowControl/>
              <w:suppressLineNumbers w:val="0"/>
              <w:jc w:val="left"/>
              <w:textAlignment w:val="center"/>
              <w:rPr>
                <w:rFonts w:ascii="Tahoma" w:hAnsi="Tahoma" w:cs="Tahoma"/>
                <w:color w:val="000000"/>
                <w:szCs w:val="21"/>
                <w:shd w:val="clear" w:color="auto" w:fill="FFFFFF"/>
              </w:rPr>
            </w:pPr>
            <w:r>
              <w:rPr>
                <w:rFonts w:hint="eastAsia" w:ascii="宋体" w:hAnsi="宋体" w:eastAsia="宋体" w:cs="宋体"/>
                <w:i w:val="0"/>
                <w:color w:val="000000"/>
                <w:kern w:val="0"/>
                <w:sz w:val="22"/>
                <w:szCs w:val="22"/>
                <w:u w:val="none"/>
                <w:lang w:val="en-US" w:eastAsia="zh-CN" w:bidi="ar"/>
              </w:rPr>
              <w:t>电动执行器</w:t>
            </w:r>
          </w:p>
        </w:tc>
        <w:tc>
          <w:tcPr>
            <w:tcW w:w="2126" w:type="dxa"/>
            <w:vAlign w:val="center"/>
          </w:tcPr>
          <w:p>
            <w:pPr>
              <w:keepNext w:val="0"/>
              <w:keepLines w:val="0"/>
              <w:widowControl/>
              <w:suppressLineNumbers w:val="0"/>
              <w:jc w:val="left"/>
              <w:textAlignment w:val="center"/>
              <w:rPr>
                <w:rFonts w:hint="default" w:ascii="宋体" w:hAnsi="宋体" w:cs="宋体"/>
                <w:color w:val="000000"/>
                <w:sz w:val="18"/>
                <w:szCs w:val="18"/>
                <w:lang w:val="en-US" w:eastAsia="zh-CN"/>
              </w:rPr>
            </w:pPr>
            <w:r>
              <w:rPr>
                <w:rFonts w:hint="eastAsia" w:ascii="宋体" w:hAnsi="宋体" w:cs="宋体"/>
                <w:i w:val="0"/>
                <w:color w:val="000000"/>
                <w:kern w:val="0"/>
                <w:sz w:val="22"/>
                <w:szCs w:val="22"/>
                <w:u w:val="none"/>
                <w:lang w:val="en-US" w:eastAsia="zh-CN" w:bidi="ar"/>
              </w:rPr>
              <w:t>BJ200-Q</w:t>
            </w:r>
          </w:p>
        </w:tc>
        <w:tc>
          <w:tcPr>
            <w:tcW w:w="850" w:type="dxa"/>
            <w:vAlign w:val="center"/>
          </w:tcPr>
          <w:p>
            <w:pPr>
              <w:keepNext w:val="0"/>
              <w:keepLines w:val="0"/>
              <w:widowControl/>
              <w:suppressLineNumbers w:val="0"/>
              <w:jc w:val="left"/>
              <w:textAlignment w:val="center"/>
              <w:rPr>
                <w:rFonts w:ascii="Tahoma" w:hAnsi="Tahoma" w:cs="Tahoma"/>
                <w:color w:val="000000"/>
                <w:szCs w:val="21"/>
                <w:shd w:val="clear" w:color="auto" w:fill="FFFFFF"/>
              </w:rPr>
            </w:pPr>
            <w:r>
              <w:rPr>
                <w:rFonts w:hint="eastAsia" w:ascii="宋体" w:hAnsi="宋体" w:eastAsia="宋体" w:cs="宋体"/>
                <w:i w:val="0"/>
                <w:color w:val="000000"/>
                <w:kern w:val="0"/>
                <w:sz w:val="22"/>
                <w:szCs w:val="22"/>
                <w:u w:val="none"/>
                <w:lang w:val="en-US" w:eastAsia="zh-CN" w:bidi="ar"/>
              </w:rPr>
              <w:t>台套</w:t>
            </w:r>
          </w:p>
        </w:tc>
        <w:tc>
          <w:tcPr>
            <w:tcW w:w="861" w:type="dxa"/>
            <w:vAlign w:val="center"/>
          </w:tcPr>
          <w:p>
            <w:pPr>
              <w:keepNext w:val="0"/>
              <w:keepLines w:val="0"/>
              <w:widowControl/>
              <w:suppressLineNumbers w:val="0"/>
              <w:jc w:val="right"/>
              <w:textAlignment w:val="center"/>
              <w:rPr>
                <w:rFonts w:ascii="Tahoma" w:hAnsi="Tahoma" w:cs="Tahoma"/>
                <w:color w:val="000000"/>
                <w:szCs w:val="21"/>
                <w:shd w:val="clear" w:color="auto" w:fill="FFFFFF"/>
              </w:rPr>
            </w:pPr>
            <w:r>
              <w:rPr>
                <w:rFonts w:hint="eastAsia" w:ascii="宋体" w:hAnsi="宋体" w:eastAsia="宋体" w:cs="宋体"/>
                <w:i w:val="0"/>
                <w:color w:val="000000"/>
                <w:kern w:val="0"/>
                <w:sz w:val="22"/>
                <w:szCs w:val="22"/>
                <w:u w:val="none"/>
                <w:lang w:val="en-US" w:eastAsia="zh-CN" w:bidi="ar"/>
              </w:rPr>
              <w:t>6</w:t>
            </w:r>
          </w:p>
        </w:tc>
        <w:tc>
          <w:tcPr>
            <w:tcW w:w="1880" w:type="dxa"/>
            <w:vAlign w:val="center"/>
          </w:tcPr>
          <w:p>
            <w:pPr>
              <w:widowControl/>
              <w:jc w:val="center"/>
              <w:textAlignment w:val="center"/>
              <w:rPr>
                <w:rFonts w:ascii="Tahoma" w:hAnsi="Tahoma" w:cs="Tahom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2</w:t>
            </w:r>
          </w:p>
        </w:tc>
        <w:tc>
          <w:tcPr>
            <w:tcW w:w="1985"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2126" w:type="dxa"/>
            <w:vAlign w:val="center"/>
          </w:tcPr>
          <w:p>
            <w:pPr>
              <w:keepNext w:val="0"/>
              <w:keepLines w:val="0"/>
              <w:widowControl/>
              <w:suppressLineNumbers w:val="0"/>
              <w:jc w:val="left"/>
              <w:textAlignment w:val="center"/>
              <w:rPr>
                <w:rFonts w:hint="eastAsia" w:ascii="宋体" w:hAnsi="宋体" w:cs="宋体"/>
                <w:color w:val="000000"/>
                <w:sz w:val="18"/>
                <w:szCs w:val="18"/>
                <w:lang w:val="en-US" w:eastAsia="zh-CN"/>
              </w:rPr>
            </w:pPr>
          </w:p>
        </w:tc>
        <w:tc>
          <w:tcPr>
            <w:tcW w:w="850"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861" w:type="dxa"/>
            <w:vAlign w:val="center"/>
          </w:tcPr>
          <w:p>
            <w:pPr>
              <w:keepNext w:val="0"/>
              <w:keepLines w:val="0"/>
              <w:widowControl/>
              <w:suppressLineNumbers w:val="0"/>
              <w:jc w:val="right"/>
              <w:textAlignment w:val="center"/>
              <w:rPr>
                <w:rFonts w:ascii="宋体" w:hAnsi="宋体" w:cs="宋体"/>
                <w:color w:val="000000"/>
                <w:sz w:val="22"/>
                <w:szCs w:val="22"/>
              </w:rPr>
            </w:pP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3</w:t>
            </w:r>
          </w:p>
        </w:tc>
        <w:tc>
          <w:tcPr>
            <w:tcW w:w="1985" w:type="dxa"/>
            <w:vAlign w:val="center"/>
          </w:tcPr>
          <w:p>
            <w:pPr>
              <w:keepNext w:val="0"/>
              <w:keepLines w:val="0"/>
              <w:widowControl/>
              <w:suppressLineNumbers w:val="0"/>
              <w:jc w:val="left"/>
              <w:textAlignment w:val="center"/>
              <w:rPr>
                <w:sz w:val="24"/>
              </w:rPr>
            </w:pPr>
          </w:p>
        </w:tc>
        <w:tc>
          <w:tcPr>
            <w:tcW w:w="2126" w:type="dxa"/>
            <w:vAlign w:val="center"/>
          </w:tcPr>
          <w:p>
            <w:pPr>
              <w:keepNext w:val="0"/>
              <w:keepLines w:val="0"/>
              <w:widowControl/>
              <w:suppressLineNumbers w:val="0"/>
              <w:jc w:val="left"/>
              <w:textAlignment w:val="center"/>
              <w:rPr>
                <w:rFonts w:hint="eastAsia" w:ascii="宋体" w:hAnsi="宋体" w:cs="宋体"/>
                <w:color w:val="000000"/>
                <w:sz w:val="18"/>
                <w:szCs w:val="18"/>
                <w:lang w:val="en-US" w:eastAsia="zh-CN"/>
              </w:rPr>
            </w:pPr>
          </w:p>
        </w:tc>
        <w:tc>
          <w:tcPr>
            <w:tcW w:w="850" w:type="dxa"/>
            <w:vAlign w:val="center"/>
          </w:tcPr>
          <w:p>
            <w:pPr>
              <w:keepNext w:val="0"/>
              <w:keepLines w:val="0"/>
              <w:widowControl/>
              <w:suppressLineNumbers w:val="0"/>
              <w:jc w:val="left"/>
              <w:textAlignment w:val="center"/>
              <w:rPr>
                <w:sz w:val="24"/>
              </w:rPr>
            </w:pPr>
          </w:p>
        </w:tc>
        <w:tc>
          <w:tcPr>
            <w:tcW w:w="861" w:type="dxa"/>
            <w:vAlign w:val="center"/>
          </w:tcPr>
          <w:p>
            <w:pPr>
              <w:keepNext w:val="0"/>
              <w:keepLines w:val="0"/>
              <w:widowControl/>
              <w:suppressLineNumbers w:val="0"/>
              <w:jc w:val="right"/>
              <w:textAlignment w:val="center"/>
              <w:rPr>
                <w:sz w:val="24"/>
              </w:rPr>
            </w:pPr>
          </w:p>
        </w:tc>
        <w:tc>
          <w:tcPr>
            <w:tcW w:w="1880" w:type="dxa"/>
            <w:vAlign w:val="center"/>
          </w:tcPr>
          <w:p>
            <w:pPr>
              <w:tabs>
                <w:tab w:val="left" w:pos="3111"/>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4</w:t>
            </w:r>
          </w:p>
        </w:tc>
        <w:tc>
          <w:tcPr>
            <w:tcW w:w="1985" w:type="dxa"/>
            <w:vAlign w:val="center"/>
          </w:tcPr>
          <w:p>
            <w:pPr>
              <w:keepNext w:val="0"/>
              <w:keepLines w:val="0"/>
              <w:widowControl/>
              <w:suppressLineNumbers w:val="0"/>
              <w:jc w:val="left"/>
              <w:textAlignment w:val="center"/>
              <w:rPr>
                <w:rFonts w:hint="eastAsia" w:ascii="宋体" w:hAnsi="宋体" w:eastAsia="宋体" w:cs="宋体"/>
                <w:color w:val="000000"/>
                <w:sz w:val="22"/>
                <w:szCs w:val="22"/>
                <w:lang w:eastAsia="zh-CN"/>
              </w:rPr>
            </w:pPr>
          </w:p>
        </w:tc>
        <w:tc>
          <w:tcPr>
            <w:tcW w:w="2126" w:type="dxa"/>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0"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861" w:type="dxa"/>
            <w:vAlign w:val="center"/>
          </w:tcPr>
          <w:p>
            <w:pPr>
              <w:keepNext w:val="0"/>
              <w:keepLines w:val="0"/>
              <w:widowControl/>
              <w:suppressLineNumbers w:val="0"/>
              <w:jc w:val="right"/>
              <w:textAlignment w:val="center"/>
              <w:rPr>
                <w:rFonts w:ascii="宋体" w:hAnsi="宋体" w:cs="宋体"/>
                <w:color w:val="000000"/>
                <w:sz w:val="22"/>
                <w:szCs w:val="22"/>
              </w:rPr>
            </w:pP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5</w:t>
            </w:r>
          </w:p>
        </w:tc>
        <w:tc>
          <w:tcPr>
            <w:tcW w:w="1985"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2126" w:type="dxa"/>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p>
        </w:tc>
        <w:tc>
          <w:tcPr>
            <w:tcW w:w="850"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861" w:type="dxa"/>
            <w:vAlign w:val="center"/>
          </w:tcPr>
          <w:p>
            <w:pPr>
              <w:keepNext w:val="0"/>
              <w:keepLines w:val="0"/>
              <w:widowControl/>
              <w:suppressLineNumbers w:val="0"/>
              <w:jc w:val="right"/>
              <w:textAlignment w:val="center"/>
              <w:rPr>
                <w:rFonts w:ascii="宋体" w:hAnsi="宋体" w:cs="宋体"/>
                <w:color w:val="000000"/>
                <w:sz w:val="22"/>
                <w:szCs w:val="22"/>
              </w:rPr>
            </w:pPr>
          </w:p>
        </w:tc>
        <w:tc>
          <w:tcPr>
            <w:tcW w:w="18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6</w:t>
            </w:r>
          </w:p>
        </w:tc>
        <w:tc>
          <w:tcPr>
            <w:tcW w:w="1985"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2126" w:type="dxa"/>
            <w:vAlign w:val="center"/>
          </w:tcPr>
          <w:p>
            <w:pPr>
              <w:keepNext w:val="0"/>
              <w:keepLines w:val="0"/>
              <w:widowControl/>
              <w:suppressLineNumbers w:val="0"/>
              <w:jc w:val="left"/>
              <w:textAlignment w:val="center"/>
              <w:rPr>
                <w:rFonts w:ascii="宋体" w:hAnsi="宋体" w:cs="宋体"/>
                <w:color w:val="000000"/>
                <w:sz w:val="18"/>
                <w:szCs w:val="18"/>
              </w:rPr>
            </w:pPr>
          </w:p>
        </w:tc>
        <w:tc>
          <w:tcPr>
            <w:tcW w:w="850"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861" w:type="dxa"/>
            <w:vAlign w:val="center"/>
          </w:tcPr>
          <w:p>
            <w:pPr>
              <w:keepNext w:val="0"/>
              <w:keepLines w:val="0"/>
              <w:widowControl/>
              <w:suppressLineNumbers w:val="0"/>
              <w:jc w:val="right"/>
              <w:textAlignment w:val="center"/>
              <w:rPr>
                <w:rFonts w:ascii="宋体" w:hAnsi="宋体" w:cs="宋体"/>
                <w:color w:val="000000"/>
                <w:sz w:val="22"/>
                <w:szCs w:val="22"/>
              </w:rPr>
            </w:pPr>
          </w:p>
        </w:tc>
        <w:tc>
          <w:tcPr>
            <w:tcW w:w="188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7</w:t>
            </w:r>
          </w:p>
        </w:tc>
        <w:tc>
          <w:tcPr>
            <w:tcW w:w="1985"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2126" w:type="dxa"/>
            <w:vAlign w:val="center"/>
          </w:tcPr>
          <w:p>
            <w:pPr>
              <w:keepNext w:val="0"/>
              <w:keepLines w:val="0"/>
              <w:widowControl/>
              <w:suppressLineNumbers w:val="0"/>
              <w:jc w:val="left"/>
              <w:textAlignment w:val="center"/>
              <w:rPr>
                <w:rFonts w:ascii="宋体" w:hAnsi="宋体" w:cs="宋体"/>
                <w:color w:val="000000"/>
                <w:sz w:val="18"/>
                <w:szCs w:val="18"/>
              </w:rPr>
            </w:pPr>
          </w:p>
        </w:tc>
        <w:tc>
          <w:tcPr>
            <w:tcW w:w="850"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861" w:type="dxa"/>
            <w:vAlign w:val="center"/>
          </w:tcPr>
          <w:p>
            <w:pPr>
              <w:keepNext w:val="0"/>
              <w:keepLines w:val="0"/>
              <w:widowControl/>
              <w:suppressLineNumbers w:val="0"/>
              <w:jc w:val="right"/>
              <w:textAlignment w:val="center"/>
              <w:rPr>
                <w:rFonts w:ascii="宋体" w:hAnsi="宋体" w:cs="宋体"/>
                <w:color w:val="000000"/>
                <w:sz w:val="22"/>
                <w:szCs w:val="22"/>
              </w:rPr>
            </w:pPr>
          </w:p>
        </w:tc>
        <w:tc>
          <w:tcPr>
            <w:tcW w:w="1880" w:type="dxa"/>
          </w:tcPr>
          <w:p>
            <w:pPr>
              <w:tabs>
                <w:tab w:val="left" w:pos="3111"/>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8</w:t>
            </w:r>
          </w:p>
        </w:tc>
        <w:tc>
          <w:tcPr>
            <w:tcW w:w="1985"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2126" w:type="dxa"/>
            <w:vAlign w:val="center"/>
          </w:tcPr>
          <w:p>
            <w:pPr>
              <w:rPr>
                <w:rFonts w:ascii="宋体" w:hAnsi="宋体" w:cs="宋体"/>
                <w:color w:val="000000"/>
                <w:sz w:val="22"/>
                <w:szCs w:val="22"/>
              </w:rPr>
            </w:pPr>
          </w:p>
        </w:tc>
        <w:tc>
          <w:tcPr>
            <w:tcW w:w="850" w:type="dxa"/>
            <w:vAlign w:val="center"/>
          </w:tcPr>
          <w:p>
            <w:pPr>
              <w:jc w:val="center"/>
              <w:rPr>
                <w:rFonts w:ascii="宋体" w:hAnsi="宋体" w:cs="宋体"/>
                <w:color w:val="000000"/>
                <w:sz w:val="22"/>
                <w:szCs w:val="22"/>
              </w:rPr>
            </w:pPr>
          </w:p>
        </w:tc>
        <w:tc>
          <w:tcPr>
            <w:tcW w:w="861" w:type="dxa"/>
            <w:vAlign w:val="center"/>
          </w:tcPr>
          <w:p>
            <w:pPr>
              <w:jc w:val="center"/>
              <w:rPr>
                <w:rFonts w:ascii="宋体" w:hAnsi="宋体" w:cs="宋体"/>
                <w:color w:val="000000"/>
                <w:sz w:val="22"/>
                <w:szCs w:val="22"/>
              </w:rPr>
            </w:pPr>
          </w:p>
        </w:tc>
        <w:tc>
          <w:tcPr>
            <w:tcW w:w="1880" w:type="dxa"/>
          </w:tcPr>
          <w:p>
            <w:pPr>
              <w:tabs>
                <w:tab w:val="left" w:pos="3111"/>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9</w:t>
            </w:r>
          </w:p>
        </w:tc>
        <w:tc>
          <w:tcPr>
            <w:tcW w:w="1985" w:type="dxa"/>
            <w:vAlign w:val="center"/>
          </w:tcPr>
          <w:p>
            <w:pPr>
              <w:rPr>
                <w:rFonts w:ascii="宋体" w:hAnsi="宋体" w:cs="宋体"/>
                <w:color w:val="000000"/>
                <w:sz w:val="22"/>
                <w:szCs w:val="22"/>
              </w:rPr>
            </w:pPr>
          </w:p>
        </w:tc>
        <w:tc>
          <w:tcPr>
            <w:tcW w:w="2126" w:type="dxa"/>
            <w:vAlign w:val="center"/>
          </w:tcPr>
          <w:p>
            <w:pPr>
              <w:rPr>
                <w:rFonts w:ascii="宋体" w:hAnsi="宋体" w:cs="宋体"/>
                <w:color w:val="000000"/>
                <w:sz w:val="22"/>
                <w:szCs w:val="22"/>
              </w:rPr>
            </w:pPr>
          </w:p>
        </w:tc>
        <w:tc>
          <w:tcPr>
            <w:tcW w:w="850" w:type="dxa"/>
            <w:vAlign w:val="center"/>
          </w:tcPr>
          <w:p>
            <w:pPr>
              <w:jc w:val="center"/>
              <w:rPr>
                <w:rFonts w:ascii="宋体" w:hAnsi="宋体" w:cs="宋体"/>
                <w:color w:val="000000"/>
                <w:sz w:val="22"/>
                <w:szCs w:val="22"/>
              </w:rPr>
            </w:pPr>
          </w:p>
        </w:tc>
        <w:tc>
          <w:tcPr>
            <w:tcW w:w="861" w:type="dxa"/>
            <w:vAlign w:val="center"/>
          </w:tcPr>
          <w:p>
            <w:pPr>
              <w:jc w:val="center"/>
              <w:rPr>
                <w:rFonts w:ascii="宋体" w:hAnsi="宋体" w:cs="宋体"/>
                <w:color w:val="000000"/>
                <w:sz w:val="22"/>
                <w:szCs w:val="22"/>
              </w:rPr>
            </w:pPr>
          </w:p>
        </w:tc>
        <w:tc>
          <w:tcPr>
            <w:tcW w:w="1880" w:type="dxa"/>
          </w:tcPr>
          <w:p>
            <w:pPr>
              <w:tabs>
                <w:tab w:val="left" w:pos="3111"/>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10</w:t>
            </w:r>
          </w:p>
        </w:tc>
        <w:tc>
          <w:tcPr>
            <w:tcW w:w="1985" w:type="dxa"/>
            <w:vAlign w:val="center"/>
          </w:tcPr>
          <w:p>
            <w:pPr>
              <w:rPr>
                <w:rFonts w:ascii="宋体" w:hAnsi="宋体" w:cs="宋体"/>
                <w:color w:val="000000"/>
                <w:sz w:val="22"/>
                <w:szCs w:val="22"/>
              </w:rPr>
            </w:pPr>
          </w:p>
        </w:tc>
        <w:tc>
          <w:tcPr>
            <w:tcW w:w="2126" w:type="dxa"/>
            <w:vAlign w:val="center"/>
          </w:tcPr>
          <w:p>
            <w:pPr>
              <w:rPr>
                <w:rFonts w:ascii="宋体" w:hAnsi="宋体" w:cs="宋体"/>
                <w:color w:val="000000"/>
                <w:sz w:val="22"/>
                <w:szCs w:val="22"/>
              </w:rPr>
            </w:pPr>
          </w:p>
        </w:tc>
        <w:tc>
          <w:tcPr>
            <w:tcW w:w="850" w:type="dxa"/>
            <w:vAlign w:val="center"/>
          </w:tcPr>
          <w:p>
            <w:pPr>
              <w:jc w:val="center"/>
              <w:rPr>
                <w:rFonts w:ascii="宋体" w:hAnsi="宋体" w:cs="宋体"/>
                <w:color w:val="000000"/>
                <w:sz w:val="22"/>
                <w:szCs w:val="22"/>
              </w:rPr>
            </w:pPr>
          </w:p>
        </w:tc>
        <w:tc>
          <w:tcPr>
            <w:tcW w:w="861" w:type="dxa"/>
            <w:vAlign w:val="center"/>
          </w:tcPr>
          <w:p>
            <w:pPr>
              <w:jc w:val="center"/>
              <w:rPr>
                <w:rFonts w:ascii="宋体" w:hAnsi="宋体" w:cs="宋体"/>
                <w:color w:val="000000"/>
                <w:sz w:val="22"/>
                <w:szCs w:val="22"/>
              </w:rPr>
            </w:pPr>
          </w:p>
        </w:tc>
        <w:tc>
          <w:tcPr>
            <w:tcW w:w="188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tabs>
                <w:tab w:val="left" w:pos="3111"/>
              </w:tabs>
              <w:jc w:val="center"/>
              <w:rPr>
                <w:sz w:val="24"/>
              </w:rPr>
            </w:pPr>
            <w:r>
              <w:rPr>
                <w:rFonts w:hint="eastAsia"/>
                <w:sz w:val="24"/>
              </w:rPr>
              <w:t>11</w:t>
            </w:r>
          </w:p>
        </w:tc>
        <w:tc>
          <w:tcPr>
            <w:tcW w:w="1985" w:type="dxa"/>
            <w:vAlign w:val="center"/>
          </w:tcPr>
          <w:p>
            <w:pPr>
              <w:rPr>
                <w:rFonts w:ascii="宋体" w:hAnsi="宋体" w:cs="宋体"/>
                <w:color w:val="000000"/>
                <w:sz w:val="22"/>
                <w:szCs w:val="22"/>
              </w:rPr>
            </w:pPr>
          </w:p>
        </w:tc>
        <w:tc>
          <w:tcPr>
            <w:tcW w:w="2126" w:type="dxa"/>
            <w:vAlign w:val="center"/>
          </w:tcPr>
          <w:p>
            <w:pPr>
              <w:rPr>
                <w:rFonts w:ascii="宋体" w:hAnsi="宋体" w:cs="宋体"/>
                <w:color w:val="000000"/>
                <w:sz w:val="22"/>
                <w:szCs w:val="22"/>
              </w:rPr>
            </w:pPr>
          </w:p>
        </w:tc>
        <w:tc>
          <w:tcPr>
            <w:tcW w:w="850" w:type="dxa"/>
            <w:vAlign w:val="center"/>
          </w:tcPr>
          <w:p>
            <w:pPr>
              <w:jc w:val="center"/>
              <w:rPr>
                <w:rFonts w:ascii="宋体" w:hAnsi="宋体" w:cs="宋体"/>
                <w:color w:val="000000"/>
                <w:sz w:val="22"/>
                <w:szCs w:val="22"/>
              </w:rPr>
            </w:pPr>
          </w:p>
        </w:tc>
        <w:tc>
          <w:tcPr>
            <w:tcW w:w="861" w:type="dxa"/>
            <w:vAlign w:val="center"/>
          </w:tcPr>
          <w:p>
            <w:pPr>
              <w:jc w:val="center"/>
              <w:rPr>
                <w:rFonts w:ascii="宋体" w:hAnsi="宋体" w:cs="宋体"/>
                <w:color w:val="000000"/>
                <w:sz w:val="22"/>
                <w:szCs w:val="22"/>
              </w:rPr>
            </w:pPr>
          </w:p>
        </w:tc>
        <w:tc>
          <w:tcPr>
            <w:tcW w:w="1880" w:type="dxa"/>
            <w:vAlign w:val="center"/>
          </w:tcPr>
          <w:p>
            <w:pPr>
              <w:rPr>
                <w:rFonts w:ascii="宋体" w:hAnsi="宋体" w:cs="宋体"/>
                <w:sz w:val="24"/>
              </w:rPr>
            </w:pPr>
          </w:p>
        </w:tc>
      </w:tr>
    </w:tbl>
    <w:p>
      <w:pPr>
        <w:tabs>
          <w:tab w:val="left" w:pos="3111"/>
        </w:tabs>
        <w:jc w:val="left"/>
        <w:rPr>
          <w:rFonts w:hint="eastAsia"/>
          <w:b/>
          <w:sz w:val="28"/>
          <w:szCs w:val="28"/>
        </w:rPr>
      </w:pPr>
    </w:p>
    <w:p>
      <w:pPr>
        <w:tabs>
          <w:tab w:val="left" w:pos="3111"/>
        </w:tabs>
        <w:jc w:val="left"/>
        <w:rPr>
          <w:rFonts w:hint="eastAsia"/>
          <w:b/>
          <w:sz w:val="28"/>
          <w:szCs w:val="28"/>
        </w:rPr>
      </w:pPr>
    </w:p>
    <w:p>
      <w:pPr>
        <w:tabs>
          <w:tab w:val="left" w:pos="3111"/>
        </w:tabs>
        <w:jc w:val="left"/>
        <w:rPr>
          <w:rFonts w:hint="eastAsia"/>
          <w:b/>
          <w:sz w:val="28"/>
          <w:szCs w:val="28"/>
        </w:rPr>
      </w:pPr>
    </w:p>
    <w:p>
      <w:pPr>
        <w:tabs>
          <w:tab w:val="left" w:pos="3111"/>
        </w:tabs>
        <w:jc w:val="left"/>
        <w:rPr>
          <w:rFonts w:hint="eastAsia"/>
          <w:b/>
          <w:sz w:val="28"/>
          <w:szCs w:val="28"/>
        </w:rPr>
      </w:pPr>
    </w:p>
    <w:p>
      <w:pPr>
        <w:tabs>
          <w:tab w:val="left" w:pos="3111"/>
        </w:tabs>
        <w:jc w:val="left"/>
        <w:rPr>
          <w:b/>
          <w:sz w:val="28"/>
          <w:szCs w:val="28"/>
        </w:rPr>
      </w:pPr>
    </w:p>
    <w:p>
      <w:pPr>
        <w:tabs>
          <w:tab w:val="left" w:pos="3111"/>
        </w:tabs>
        <w:jc w:val="left"/>
        <w:rPr>
          <w:b/>
          <w:sz w:val="28"/>
          <w:szCs w:val="28"/>
        </w:rPr>
      </w:pPr>
    </w:p>
    <w:p>
      <w:pPr>
        <w:tabs>
          <w:tab w:val="left" w:pos="3111"/>
        </w:tabs>
        <w:jc w:val="left"/>
        <w:rPr>
          <w:b/>
          <w:sz w:val="28"/>
          <w:szCs w:val="28"/>
        </w:rPr>
      </w:pPr>
    </w:p>
    <w:p>
      <w:pPr>
        <w:tabs>
          <w:tab w:val="left" w:pos="3111"/>
        </w:tabs>
        <w:jc w:val="left"/>
        <w:rPr>
          <w:b/>
          <w:sz w:val="28"/>
          <w:szCs w:val="28"/>
        </w:rPr>
      </w:pPr>
    </w:p>
    <w:p>
      <w:pPr>
        <w:tabs>
          <w:tab w:val="left" w:pos="3111"/>
        </w:tabs>
        <w:jc w:val="left"/>
        <w:rPr>
          <w:b/>
          <w:sz w:val="28"/>
          <w:szCs w:val="28"/>
        </w:rPr>
      </w:pPr>
      <w:r>
        <w:rPr>
          <w:rFonts w:hint="eastAsia"/>
          <w:b/>
          <w:sz w:val="28"/>
          <w:szCs w:val="28"/>
        </w:rPr>
        <w:t>二、技术标准</w:t>
      </w:r>
    </w:p>
    <w:p>
      <w:pPr>
        <w:widowControl/>
        <w:jc w:val="left"/>
        <w:textAlignment w:val="center"/>
        <w:rPr>
          <w:rFonts w:hint="default" w:ascii="Tahoma" w:hAnsi="Tahoma" w:eastAsia="宋体" w:cs="Tahoma"/>
          <w:color w:val="000000"/>
          <w:szCs w:val="21"/>
          <w:shd w:val="clear" w:color="auto" w:fill="FFFFFF"/>
          <w:lang w:val="en-US" w:eastAsia="zh-CN"/>
        </w:rPr>
      </w:pPr>
      <w:r>
        <w:rPr>
          <w:rFonts w:hint="eastAsia"/>
          <w:color w:val="000000"/>
          <w:sz w:val="22"/>
          <w:szCs w:val="22"/>
        </w:rPr>
        <w:t>1、</w:t>
      </w:r>
      <w:r>
        <w:rPr>
          <w:rFonts w:hint="eastAsia" w:ascii="Tahoma" w:hAnsi="Tahoma" w:cs="Tahoma"/>
          <w:color w:val="000000"/>
          <w:szCs w:val="21"/>
          <w:shd w:val="clear" w:color="auto" w:fill="FFFFFF"/>
        </w:rPr>
        <w:t>电动执行器</w:t>
      </w:r>
      <w:r>
        <w:rPr>
          <w:rFonts w:hint="eastAsia" w:ascii="Tahoma" w:hAnsi="Tahoma" w:cs="Tahoma"/>
          <w:color w:val="000000"/>
          <w:szCs w:val="21"/>
          <w:shd w:val="clear" w:color="auto" w:fill="FFFFFF"/>
        </w:rPr>
        <w:tab/>
      </w:r>
      <w:r>
        <w:rPr>
          <w:rFonts w:hint="eastAsia" w:ascii="Tahoma" w:hAnsi="Tahoma" w:cs="Tahoma"/>
          <w:color w:val="000000"/>
          <w:szCs w:val="21"/>
          <w:shd w:val="clear" w:color="auto" w:fill="FFFFFF"/>
        </w:rPr>
        <w:t>BJ</w:t>
      </w:r>
      <w:r>
        <w:rPr>
          <w:rFonts w:hint="eastAsia" w:ascii="Tahoma" w:hAnsi="Tahoma" w:cs="Tahoma"/>
          <w:color w:val="000000"/>
          <w:szCs w:val="21"/>
          <w:shd w:val="clear" w:color="auto" w:fill="FFFFFF"/>
          <w:lang w:val="en-US" w:eastAsia="zh-CN"/>
        </w:rPr>
        <w:t>200-Q</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Pr>
          <w:p>
            <w:pPr>
              <w:spacing w:line="360" w:lineRule="auto"/>
              <w:jc w:val="left"/>
              <w:rPr>
                <w:rFonts w:hint="eastAsia" w:ascii="仿宋" w:hAnsi="仿宋" w:eastAsia="仿宋"/>
                <w:b/>
                <w:sz w:val="18"/>
                <w:szCs w:val="18"/>
              </w:rPr>
            </w:pPr>
            <w:r>
              <w:rPr>
                <w:rFonts w:hint="eastAsia"/>
                <w:sz w:val="24"/>
              </w:rPr>
              <w:t>技术要求：</w:t>
            </w:r>
          </w:p>
          <w:p>
            <w:pPr>
              <w:numPr>
                <w:ilvl w:val="0"/>
                <w:numId w:val="1"/>
              </w:numPr>
              <w:spacing w:line="360" w:lineRule="auto"/>
              <w:jc w:val="left"/>
              <w:rPr>
                <w:color w:val="000000"/>
                <w:sz w:val="22"/>
                <w:szCs w:val="22"/>
              </w:rPr>
            </w:pPr>
            <w:r>
              <w:rPr>
                <w:rFonts w:hint="eastAsia"/>
                <w:color w:val="000000"/>
                <w:sz w:val="22"/>
                <w:szCs w:val="22"/>
              </w:rPr>
              <w:t>电源：380VAC±10%；电源频率：50HZ±2%</w:t>
            </w:r>
          </w:p>
          <w:p>
            <w:pPr>
              <w:numPr>
                <w:ilvl w:val="0"/>
                <w:numId w:val="1"/>
              </w:numPr>
              <w:spacing w:line="360" w:lineRule="auto"/>
              <w:jc w:val="left"/>
              <w:rPr>
                <w:rFonts w:ascii="Arial" w:hAnsi="Arial" w:cs="Arial"/>
                <w:color w:val="333333"/>
                <w:sz w:val="22"/>
                <w:szCs w:val="22"/>
                <w:shd w:val="clear" w:color="auto" w:fill="FFFFFF"/>
              </w:rPr>
            </w:pPr>
            <w:r>
              <w:rPr>
                <w:rFonts w:hint="eastAsia" w:ascii="Arial" w:hAnsi="Arial" w:cs="Arial"/>
                <w:color w:val="333333"/>
                <w:sz w:val="22"/>
                <w:szCs w:val="22"/>
                <w:shd w:val="clear" w:color="auto" w:fill="FFFFFF"/>
              </w:rPr>
              <w:t>电动执行机构基本技术要求：</w:t>
            </w:r>
          </w:p>
          <w:p>
            <w:pPr>
              <w:ind w:firstLine="420"/>
              <w:rPr>
                <w:rFonts w:ascii="宋体" w:hAnsi="宋体"/>
                <w:sz w:val="22"/>
                <w:szCs w:val="22"/>
              </w:rPr>
            </w:pPr>
            <w:r>
              <w:rPr>
                <w:rFonts w:hint="eastAsia" w:ascii="宋体" w:hAnsi="宋体"/>
                <w:sz w:val="22"/>
                <w:szCs w:val="22"/>
              </w:rPr>
              <w:t>2.1应能达到国内/外产品同等技术要求，其设计制造、验收及材料性能等应符合行业标准《工业过程控制系统用普通型及智能型电动执行机构》JB/T8219-2016。</w:t>
            </w:r>
          </w:p>
          <w:p>
            <w:pPr>
              <w:ind w:firstLine="330" w:firstLineChars="150"/>
              <w:rPr>
                <w:rFonts w:ascii="宋体" w:hAnsi="宋体"/>
                <w:sz w:val="22"/>
                <w:szCs w:val="22"/>
              </w:rPr>
            </w:pPr>
            <w:r>
              <w:rPr>
                <w:rFonts w:hint="eastAsia" w:ascii="宋体" w:hAnsi="宋体"/>
                <w:sz w:val="22"/>
                <w:szCs w:val="22"/>
              </w:rPr>
              <w:t>2.2电动执行机构的选型应能满足数据单中规定的最恶劣操作条件下的阀门运行要求，并且电动执行机构的额定输出扭矩,至少为阀门最大扭矩的1.5倍的安全系数。</w:t>
            </w:r>
          </w:p>
          <w:p>
            <w:pPr>
              <w:ind w:firstLine="330" w:firstLineChars="150"/>
              <w:rPr>
                <w:rFonts w:ascii="宋体" w:hAnsi="宋体"/>
                <w:sz w:val="22"/>
                <w:szCs w:val="22"/>
              </w:rPr>
            </w:pPr>
            <w:r>
              <w:rPr>
                <w:rFonts w:hint="eastAsia" w:ascii="宋体" w:hAnsi="宋体"/>
                <w:sz w:val="22"/>
                <w:szCs w:val="22"/>
              </w:rPr>
              <w:t>2.3电动执行机构应为非侵入式智能型，对执行机构进行任何外部调节、调试、故障诊断及设定值的修改均可通过外部操作进行，不需要拆开执行机构的密封端盖。参数设置、参数检查、参数调整、信号查询等利用红外设定器或电气罩上的旋钮与通过电气罩上的LCD液晶屏进行人机对话均可操作，免开盖实现各种操作。</w:t>
            </w:r>
          </w:p>
          <w:p>
            <w:pPr>
              <w:ind w:firstLine="330" w:firstLineChars="150"/>
              <w:rPr>
                <w:rFonts w:ascii="宋体" w:hAnsi="宋体"/>
                <w:sz w:val="22"/>
                <w:szCs w:val="22"/>
              </w:rPr>
            </w:pPr>
            <w:r>
              <w:rPr>
                <w:rFonts w:hint="eastAsia" w:ascii="宋体" w:hAnsi="宋体"/>
                <w:sz w:val="22"/>
                <w:szCs w:val="22"/>
              </w:rPr>
              <w:t>2.4电动执行机构应能通过LCD 面板和远传状态信号显示阀门、控制回路、执行机构本身的故障及报警。LCD 面板中显示字体为全中文，符合人员正常操作观看习惯。可通过电气罩上的LCD液晶屏查询远方的开关量信号、电流量信号和就地控制等信号是否存在，可快速判断故障所在。</w:t>
            </w:r>
          </w:p>
          <w:p>
            <w:pPr>
              <w:ind w:firstLine="330" w:firstLineChars="150"/>
              <w:rPr>
                <w:rFonts w:ascii="宋体" w:hAnsi="宋体"/>
                <w:sz w:val="22"/>
                <w:szCs w:val="22"/>
              </w:rPr>
            </w:pPr>
            <w:r>
              <w:rPr>
                <w:rFonts w:hint="eastAsia" w:ascii="Arial" w:hAnsi="Arial" w:cs="Arial"/>
                <w:sz w:val="22"/>
                <w:szCs w:val="22"/>
              </w:rPr>
              <w:t>2.5</w:t>
            </w:r>
            <w:r>
              <w:rPr>
                <w:rFonts w:hint="eastAsia" w:ascii="宋体" w:hAnsi="宋体"/>
                <w:sz w:val="22"/>
                <w:szCs w:val="22"/>
              </w:rPr>
              <w:t>电动执行机构的阀位指示应为连续指示，递增量为1％。阀位检测应采用非接触式绝对编码器（</w:t>
            </w:r>
            <w:r>
              <w:rPr>
                <w:rFonts w:ascii="宋体" w:hAnsi="宋体"/>
                <w:sz w:val="22"/>
                <w:szCs w:val="22"/>
              </w:rPr>
              <w:t>不得使用光电</w:t>
            </w:r>
            <w:r>
              <w:rPr>
                <w:rFonts w:hint="eastAsia" w:ascii="宋体" w:hAnsi="宋体"/>
                <w:sz w:val="22"/>
                <w:szCs w:val="22"/>
              </w:rPr>
              <w:t>传感</w:t>
            </w:r>
            <w:r>
              <w:rPr>
                <w:rFonts w:ascii="宋体" w:hAnsi="宋体"/>
                <w:sz w:val="22"/>
                <w:szCs w:val="22"/>
              </w:rPr>
              <w:t>元器件</w:t>
            </w:r>
            <w:r>
              <w:rPr>
                <w:rFonts w:hint="eastAsia" w:ascii="宋体" w:hAnsi="宋体"/>
                <w:sz w:val="22"/>
                <w:szCs w:val="22"/>
              </w:rPr>
              <w:t>）不得使用电池支持阀位，即使在无任何电源的情况下，转动了手轮使得阀位改变，再次供电后阀位也应完全正确，不需要重新设定行程。</w:t>
            </w:r>
          </w:p>
          <w:p>
            <w:pPr>
              <w:spacing w:line="360" w:lineRule="auto"/>
              <w:jc w:val="left"/>
              <w:rPr>
                <w:rFonts w:ascii="宋体" w:hAnsi="宋体"/>
                <w:sz w:val="22"/>
                <w:szCs w:val="22"/>
              </w:rPr>
            </w:pPr>
            <w:r>
              <w:rPr>
                <w:rFonts w:hint="eastAsia" w:ascii="宋体" w:hAnsi="宋体"/>
                <w:sz w:val="22"/>
                <w:szCs w:val="22"/>
              </w:rPr>
              <w:t>绝对编码器可在-40℃~＋110℃工况下稳定工作，具有自主知识产权；执行器主控原件具有采集信息上传备份功能。</w:t>
            </w:r>
          </w:p>
          <w:p>
            <w:pPr>
              <w:rPr>
                <w:rFonts w:ascii="宋体" w:hAnsi="宋体"/>
                <w:sz w:val="22"/>
                <w:szCs w:val="22"/>
              </w:rPr>
            </w:pPr>
            <w:r>
              <w:rPr>
                <w:rFonts w:hint="eastAsia" w:ascii="宋体" w:hAnsi="宋体"/>
                <w:sz w:val="22"/>
                <w:szCs w:val="22"/>
              </w:rPr>
              <w:t xml:space="preserve">2.6机械特性 </w:t>
            </w:r>
          </w:p>
          <w:p>
            <w:pPr>
              <w:ind w:firstLine="330" w:firstLineChars="150"/>
              <w:rPr>
                <w:rFonts w:ascii="宋体" w:hAnsi="宋体"/>
                <w:sz w:val="22"/>
                <w:szCs w:val="22"/>
              </w:rPr>
            </w:pPr>
            <w:r>
              <w:rPr>
                <w:rFonts w:hint="eastAsia" w:ascii="宋体" w:hAnsi="宋体"/>
                <w:sz w:val="22"/>
                <w:szCs w:val="22"/>
              </w:rPr>
              <w:t>2.6.1执行机构应包括电机、减速机构、阀位传感器、扭矩传感器、手轮、手轮自动断开装置以及安全平稳运行所需的其它部件，为提高执行机构的传动效率和使用寿命，机械传动部分采用齿轮传动设计，不得使用蜗轮蜗杆传动设计，为解决现场手电动切换故障率高的问题，执行机构手电动切换采取无扰切换，不得出现机械离合器机构，执行机构整体组装应该是密闭的，适合于户外操作和长期使用的环境条件。</w:t>
            </w:r>
          </w:p>
          <w:p>
            <w:pPr>
              <w:ind w:firstLine="330" w:firstLineChars="150"/>
              <w:rPr>
                <w:rFonts w:ascii="宋体" w:hAnsi="宋体"/>
                <w:sz w:val="22"/>
                <w:szCs w:val="22"/>
              </w:rPr>
            </w:pPr>
            <w:r>
              <w:rPr>
                <w:rFonts w:hint="eastAsia" w:ascii="宋体" w:hAnsi="宋体"/>
                <w:sz w:val="22"/>
                <w:szCs w:val="22"/>
              </w:rPr>
              <w:t>2.6.2润滑系统在使用寿命内应免维护。</w:t>
            </w:r>
          </w:p>
          <w:p>
            <w:pPr>
              <w:ind w:firstLine="330" w:firstLineChars="150"/>
              <w:rPr>
                <w:rFonts w:ascii="宋体" w:hAnsi="宋体"/>
                <w:sz w:val="22"/>
                <w:szCs w:val="22"/>
              </w:rPr>
            </w:pPr>
            <w:r>
              <w:rPr>
                <w:rFonts w:hint="eastAsia" w:ascii="宋体" w:hAnsi="宋体"/>
                <w:sz w:val="22"/>
                <w:szCs w:val="22"/>
              </w:rPr>
              <w:t>2.6.3供货商确保所提供的电动执行机构的正常使用寿命不低于10 年。</w:t>
            </w:r>
          </w:p>
          <w:p>
            <w:pPr>
              <w:ind w:firstLine="330" w:firstLineChars="150"/>
              <w:rPr>
                <w:rFonts w:ascii="宋体" w:hAnsi="宋体"/>
                <w:color w:val="FF0000"/>
                <w:sz w:val="22"/>
                <w:szCs w:val="22"/>
              </w:rPr>
            </w:pPr>
            <w:r>
              <w:rPr>
                <w:rFonts w:hint="eastAsia" w:ascii="宋体" w:hAnsi="宋体"/>
                <w:sz w:val="22"/>
                <w:szCs w:val="22"/>
              </w:rPr>
              <w:t>2.6.4电动执行机构的整体防爆/防护等级不低于ExdⅡ</w:t>
            </w:r>
            <w:r>
              <w:rPr>
                <w:rFonts w:ascii="宋体" w:hAnsi="宋体"/>
                <w:sz w:val="22"/>
                <w:szCs w:val="22"/>
              </w:rPr>
              <w:t>C</w:t>
            </w:r>
            <w:r>
              <w:rPr>
                <w:rFonts w:hint="eastAsia" w:ascii="宋体" w:hAnsi="宋体"/>
                <w:sz w:val="22"/>
                <w:szCs w:val="22"/>
              </w:rPr>
              <w:t>T4/IP68</w:t>
            </w:r>
            <w:r>
              <w:rPr>
                <w:rFonts w:ascii="宋体" w:hAnsi="宋体"/>
                <w:sz w:val="22"/>
                <w:szCs w:val="22"/>
              </w:rPr>
              <w:t>并具有第三方检测报告</w:t>
            </w:r>
            <w:r>
              <w:rPr>
                <w:rFonts w:hint="eastAsia" w:ascii="宋体" w:hAnsi="宋体"/>
                <w:sz w:val="22"/>
                <w:szCs w:val="22"/>
              </w:rPr>
              <w:t>。</w:t>
            </w:r>
          </w:p>
          <w:p>
            <w:pPr>
              <w:ind w:firstLine="330" w:firstLineChars="150"/>
              <w:rPr>
                <w:rFonts w:ascii="宋体" w:hAnsi="宋体"/>
                <w:sz w:val="22"/>
                <w:szCs w:val="22"/>
              </w:rPr>
            </w:pPr>
            <w:r>
              <w:rPr>
                <w:rFonts w:hint="eastAsia" w:ascii="宋体" w:hAnsi="宋体"/>
                <w:sz w:val="22"/>
                <w:szCs w:val="22"/>
              </w:rPr>
              <w:t>2.6.5阀门所配执行机构或控制系统的故障不应影响到阀门的手轮操作。</w:t>
            </w:r>
          </w:p>
          <w:p>
            <w:pPr>
              <w:ind w:firstLine="330" w:firstLineChars="150"/>
              <w:rPr>
                <w:rFonts w:ascii="宋体" w:hAnsi="宋体"/>
                <w:sz w:val="22"/>
                <w:szCs w:val="22"/>
              </w:rPr>
            </w:pPr>
          </w:p>
          <w:p>
            <w:pPr>
              <w:rPr>
                <w:rFonts w:ascii="宋体" w:hAnsi="宋体"/>
                <w:sz w:val="22"/>
                <w:szCs w:val="22"/>
              </w:rPr>
            </w:pPr>
            <w:r>
              <w:rPr>
                <w:rFonts w:hint="eastAsia" w:ascii="宋体" w:hAnsi="宋体"/>
                <w:sz w:val="22"/>
                <w:szCs w:val="22"/>
              </w:rPr>
              <w:t>2.7电动特性</w:t>
            </w:r>
          </w:p>
          <w:p>
            <w:pPr>
              <w:ind w:firstLine="330" w:firstLineChars="150"/>
              <w:rPr>
                <w:rFonts w:ascii="宋体" w:hAnsi="宋体"/>
                <w:sz w:val="22"/>
                <w:szCs w:val="22"/>
              </w:rPr>
            </w:pPr>
            <w:r>
              <w:rPr>
                <w:rFonts w:hint="eastAsia" w:ascii="宋体" w:hAnsi="宋体"/>
                <w:sz w:val="22"/>
                <w:szCs w:val="22"/>
              </w:rPr>
              <w:t>2.7.1 电机应是鼠笼式感应电机，现场供电条件：380VAC/50HZ。电力供应的电压波动为342～418 VAC，频率为±10%，且短期电压下降可达15%。</w:t>
            </w:r>
          </w:p>
          <w:p>
            <w:pPr>
              <w:ind w:firstLine="330" w:firstLineChars="150"/>
              <w:rPr>
                <w:rFonts w:ascii="宋体" w:hAnsi="宋体"/>
                <w:sz w:val="22"/>
                <w:szCs w:val="22"/>
              </w:rPr>
            </w:pPr>
            <w:r>
              <w:rPr>
                <w:rFonts w:hint="eastAsia" w:ascii="宋体" w:hAnsi="宋体"/>
                <w:sz w:val="22"/>
                <w:szCs w:val="22"/>
              </w:rPr>
              <w:t>2.7.2 正常运行状态时，在额定电压情况下电机任何部分的温升都不超过允许范围。</w:t>
            </w:r>
          </w:p>
          <w:p>
            <w:pPr>
              <w:ind w:firstLine="330" w:firstLineChars="150"/>
              <w:rPr>
                <w:rFonts w:ascii="宋体" w:hAnsi="宋体"/>
                <w:sz w:val="22"/>
                <w:szCs w:val="22"/>
              </w:rPr>
            </w:pPr>
            <w:r>
              <w:rPr>
                <w:rFonts w:hint="eastAsia" w:ascii="宋体" w:hAnsi="宋体"/>
                <w:sz w:val="22"/>
                <w:szCs w:val="22"/>
              </w:rPr>
              <w:t>2.7.3 电机应该是整体封闭的，采用自然冷却。电机的防护等级不应低于IP68，同时具有“F”级的绝缘，</w:t>
            </w:r>
            <w:r>
              <w:rPr>
                <w:rFonts w:ascii="宋体" w:hAnsi="宋体"/>
                <w:sz w:val="22"/>
                <w:szCs w:val="22"/>
              </w:rPr>
              <w:t>并具有第三方检测报告</w:t>
            </w:r>
            <w:r>
              <w:rPr>
                <w:rFonts w:hint="eastAsia" w:ascii="宋体" w:hAnsi="宋体"/>
                <w:sz w:val="22"/>
                <w:szCs w:val="22"/>
              </w:rPr>
              <w:t>。</w:t>
            </w:r>
          </w:p>
          <w:p>
            <w:pPr>
              <w:ind w:firstLine="330" w:firstLineChars="150"/>
              <w:rPr>
                <w:rFonts w:ascii="宋体" w:hAnsi="宋体"/>
                <w:sz w:val="22"/>
                <w:szCs w:val="22"/>
              </w:rPr>
            </w:pPr>
            <w:r>
              <w:rPr>
                <w:rFonts w:hint="eastAsia" w:ascii="宋体" w:hAnsi="宋体"/>
                <w:sz w:val="22"/>
                <w:szCs w:val="22"/>
              </w:rPr>
              <w:t>2.7.4 电机应有过热保护装置。当阀门在局部卡死的情况下仍能开启阀门，电机的短时间堵转（失速）力矩应能达到额定力矩的1.5倍。</w:t>
            </w:r>
          </w:p>
          <w:p>
            <w:pPr>
              <w:ind w:firstLine="330" w:firstLineChars="150"/>
              <w:rPr>
                <w:rFonts w:ascii="宋体" w:hAnsi="宋体"/>
                <w:sz w:val="22"/>
                <w:szCs w:val="22"/>
              </w:rPr>
            </w:pPr>
            <w:r>
              <w:rPr>
                <w:rFonts w:hint="eastAsia" w:ascii="宋体" w:hAnsi="宋体"/>
                <w:sz w:val="22"/>
                <w:szCs w:val="22"/>
              </w:rPr>
              <w:t>2.7.5 阀位信号输出应是无源触点，接点容量不应小于5A 250VAC/30VDC。</w:t>
            </w:r>
          </w:p>
          <w:p>
            <w:pPr>
              <w:ind w:firstLine="330" w:firstLineChars="150"/>
              <w:rPr>
                <w:rFonts w:ascii="宋体" w:hAnsi="宋体"/>
                <w:sz w:val="22"/>
                <w:szCs w:val="22"/>
              </w:rPr>
            </w:pPr>
            <w:r>
              <w:rPr>
                <w:rFonts w:hint="eastAsia" w:ascii="宋体" w:hAnsi="宋体"/>
                <w:sz w:val="22"/>
                <w:szCs w:val="22"/>
              </w:rPr>
              <w:t>2.7.6 电动执行机构应具有限位保护、过力矩保护、电机过载、过热保护和控制回路故障及短路保护，相位自动校正能力和防阻塞保护。</w:t>
            </w:r>
          </w:p>
          <w:p>
            <w:pPr>
              <w:ind w:firstLine="330" w:firstLineChars="150"/>
              <w:rPr>
                <w:rFonts w:ascii="宋体" w:hAnsi="宋体"/>
                <w:sz w:val="22"/>
                <w:szCs w:val="22"/>
              </w:rPr>
            </w:pPr>
            <w:r>
              <w:rPr>
                <w:rFonts w:hint="eastAsia" w:ascii="宋体" w:hAnsi="宋体"/>
                <w:sz w:val="22"/>
                <w:szCs w:val="22"/>
              </w:rPr>
              <w:t>2.7.7 与外部连接的接线端子板应置于一个单独的密封的接线腔体内。使现场连接电缆时，内部控制电路与外部完全隔离。接线端号应标记清晰，且有接线图。接线箱内外都应有接地端子。</w:t>
            </w:r>
          </w:p>
          <w:p>
            <w:pPr>
              <w:ind w:firstLine="330" w:firstLineChars="150"/>
              <w:rPr>
                <w:rFonts w:ascii="宋体" w:hAnsi="宋体"/>
                <w:sz w:val="22"/>
                <w:szCs w:val="22"/>
              </w:rPr>
            </w:pPr>
            <w:r>
              <w:rPr>
                <w:rFonts w:hint="eastAsia" w:ascii="宋体" w:hAnsi="宋体"/>
                <w:sz w:val="22"/>
                <w:szCs w:val="22"/>
              </w:rPr>
              <w:t>2.7.8 接线箱应设有至少2 个电缆连接的入口。电缆入口和连接件都应符合防爆要求。接管螺纹满足NPT 标准，其尺寸不应小于1 inch。</w:t>
            </w:r>
          </w:p>
          <w:p>
            <w:pPr>
              <w:ind w:firstLine="330" w:firstLineChars="150"/>
              <w:rPr>
                <w:rFonts w:ascii="宋体" w:hAnsi="宋体"/>
                <w:sz w:val="22"/>
                <w:szCs w:val="22"/>
              </w:rPr>
            </w:pPr>
            <w:r>
              <w:rPr>
                <w:rFonts w:hint="eastAsia" w:ascii="宋体" w:hAnsi="宋体"/>
                <w:sz w:val="22"/>
                <w:szCs w:val="22"/>
              </w:rPr>
              <w:t>2.7.9 电动执行机构可对执行机构本身故障和外部控制回路故障进行检测和报警。</w:t>
            </w:r>
          </w:p>
          <w:p>
            <w:pPr>
              <w:ind w:firstLine="330" w:firstLineChars="150"/>
              <w:rPr>
                <w:rFonts w:ascii="宋体" w:hAnsi="宋体"/>
                <w:sz w:val="22"/>
                <w:szCs w:val="22"/>
              </w:rPr>
            </w:pPr>
            <w:r>
              <w:rPr>
                <w:rFonts w:hint="eastAsia" w:ascii="宋体" w:hAnsi="宋体"/>
                <w:sz w:val="22"/>
                <w:szCs w:val="22"/>
              </w:rPr>
              <w:t>2.7.10 执行机构力矩检测应采用非接触式线性测量方式</w:t>
            </w:r>
            <w:r>
              <w:rPr>
                <w:rFonts w:hint="eastAsia" w:ascii="宋体" w:hAnsi="宋体"/>
                <w:color w:val="FF0000"/>
                <w:sz w:val="22"/>
                <w:szCs w:val="22"/>
              </w:rPr>
              <w:t>，</w:t>
            </w:r>
            <w:r>
              <w:rPr>
                <w:rFonts w:hint="eastAsia" w:ascii="宋体" w:hAnsi="宋体"/>
                <w:sz w:val="22"/>
                <w:szCs w:val="22"/>
              </w:rPr>
              <w:t>并可在LCD显示屏实时显示当前力矩与执行机构最大额定力矩的百分比。</w:t>
            </w:r>
          </w:p>
          <w:p>
            <w:pPr>
              <w:ind w:firstLine="330" w:firstLineChars="150"/>
              <w:rPr>
                <w:rFonts w:ascii="宋体" w:hAnsi="宋体"/>
                <w:sz w:val="22"/>
                <w:szCs w:val="22"/>
              </w:rPr>
            </w:pPr>
            <w:r>
              <w:rPr>
                <w:rFonts w:hint="eastAsia" w:ascii="宋体" w:hAnsi="宋体"/>
                <w:sz w:val="22"/>
                <w:szCs w:val="22"/>
              </w:rPr>
              <w:t>2.7.11 执行机构外壳采用防水铝合金材质,外涂层应抗紫外线户外长期照射。</w:t>
            </w:r>
          </w:p>
          <w:p>
            <w:pPr>
              <w:ind w:firstLine="220" w:firstLineChars="100"/>
              <w:rPr>
                <w:rFonts w:ascii="宋体" w:hAnsi="宋体"/>
                <w:sz w:val="22"/>
                <w:szCs w:val="22"/>
              </w:rPr>
            </w:pPr>
          </w:p>
          <w:p>
            <w:pPr>
              <w:rPr>
                <w:rFonts w:ascii="宋体" w:hAnsi="宋体"/>
                <w:sz w:val="22"/>
                <w:szCs w:val="22"/>
              </w:rPr>
            </w:pPr>
            <w:r>
              <w:rPr>
                <w:rFonts w:hint="eastAsia" w:ascii="宋体" w:hAnsi="宋体"/>
                <w:sz w:val="22"/>
                <w:szCs w:val="22"/>
              </w:rPr>
              <w:t>2.8控制系统</w:t>
            </w:r>
          </w:p>
          <w:p>
            <w:pPr>
              <w:ind w:firstLine="330" w:firstLineChars="150"/>
              <w:rPr>
                <w:rFonts w:ascii="宋体" w:hAnsi="宋体"/>
                <w:sz w:val="22"/>
                <w:szCs w:val="22"/>
              </w:rPr>
            </w:pPr>
            <w:r>
              <w:rPr>
                <w:rFonts w:hint="eastAsia" w:ascii="宋体" w:hAnsi="宋体"/>
                <w:sz w:val="22"/>
                <w:szCs w:val="22"/>
              </w:rPr>
              <w:t>2.8.1 电动执行机构应具有就地和远方的开/关/停止的控制功能。</w:t>
            </w:r>
          </w:p>
          <w:p>
            <w:pPr>
              <w:ind w:firstLine="330" w:firstLineChars="150"/>
              <w:rPr>
                <w:rFonts w:ascii="宋体" w:hAnsi="宋体"/>
                <w:sz w:val="22"/>
                <w:szCs w:val="22"/>
              </w:rPr>
            </w:pPr>
            <w:r>
              <w:rPr>
                <w:rFonts w:hint="eastAsia" w:ascii="宋体" w:hAnsi="宋体"/>
                <w:sz w:val="22"/>
                <w:szCs w:val="22"/>
              </w:rPr>
              <w:t>2.8.2 电动执行机构应有带锁的 就地/断开/远控 选择开关。选择开关在就地位时，执行机构由就地的电动按钮控制。选择开关在远控位时，执行机构由远程开关或控制系统控制。选择开关在断开位时，执行机构只能通过手轮操作。阀门所配的电动执行机构的就地电动控制和远方电动控制均可选择为自保持型和非自保持型。</w:t>
            </w:r>
          </w:p>
          <w:p>
            <w:pPr>
              <w:ind w:firstLine="330" w:firstLineChars="150"/>
              <w:rPr>
                <w:rFonts w:ascii="宋体" w:hAnsi="宋体"/>
                <w:sz w:val="22"/>
                <w:szCs w:val="22"/>
              </w:rPr>
            </w:pPr>
            <w:r>
              <w:rPr>
                <w:rFonts w:hint="eastAsia" w:ascii="宋体" w:hAnsi="宋体"/>
                <w:sz w:val="22"/>
                <w:szCs w:val="22"/>
              </w:rPr>
              <w:t>2.8.3 电动执行机构内部控制器的精度应≤1%，在相同方向要使电动执行机构动作需要的最大信号变化量为1%。电动执行机构和阀门配套后的整体精度应保证≤1.5%，阀位比例控制电流和位置反馈电流可根据用户的标准在现场进行免开盖重新标定，以方便了用户操作并提高系统控制的准确度。调节型调节频率为1200次/小时。</w:t>
            </w:r>
          </w:p>
          <w:p>
            <w:pPr>
              <w:ind w:firstLine="330" w:firstLineChars="150"/>
              <w:rPr>
                <w:rFonts w:ascii="宋体" w:hAnsi="宋体"/>
                <w:sz w:val="22"/>
                <w:szCs w:val="22"/>
              </w:rPr>
            </w:pPr>
            <w:r>
              <w:rPr>
                <w:rFonts w:hint="eastAsia" w:ascii="宋体" w:hAnsi="宋体"/>
                <w:sz w:val="22"/>
                <w:szCs w:val="22"/>
              </w:rPr>
              <w:t>2.8.4 执行机构应具备故障自诊断和报警功能。电动执行机构本身应有状态指示和/或开度指示，能向远方发送开/关状态指示的触点信号及故障报警等触点信号。执行机构LCD 就地显示操作面板应方便运行人员巡检。</w:t>
            </w:r>
          </w:p>
          <w:p>
            <w:pPr>
              <w:ind w:firstLine="330" w:firstLineChars="150"/>
              <w:rPr>
                <w:rFonts w:ascii="宋体" w:hAnsi="宋体"/>
                <w:sz w:val="22"/>
                <w:szCs w:val="22"/>
              </w:rPr>
            </w:pPr>
            <w:r>
              <w:rPr>
                <w:rFonts w:hint="eastAsia" w:ascii="宋体" w:hAnsi="宋体"/>
                <w:sz w:val="22"/>
                <w:szCs w:val="22"/>
              </w:rPr>
              <w:t>2.8.5 执行机构应包括足够的可组态的双稳态继电器（即使系统断电情况下仍可保持当前反馈情况）用以实现以下远程显示：</w:t>
            </w:r>
          </w:p>
          <w:p>
            <w:pPr>
              <w:ind w:left="420" w:firstLine="420"/>
              <w:rPr>
                <w:rFonts w:ascii="宋体" w:hAnsi="宋体"/>
                <w:sz w:val="22"/>
                <w:szCs w:val="22"/>
              </w:rPr>
            </w:pPr>
            <w:r>
              <w:rPr>
                <w:rFonts w:hint="eastAsia" w:ascii="宋体" w:hAnsi="宋体"/>
                <w:sz w:val="22"/>
                <w:szCs w:val="22"/>
              </w:rPr>
              <w:t>— 阀全开到位</w:t>
            </w:r>
          </w:p>
          <w:p>
            <w:pPr>
              <w:ind w:left="420" w:firstLine="420"/>
              <w:rPr>
                <w:rFonts w:ascii="宋体" w:hAnsi="宋体"/>
                <w:sz w:val="22"/>
                <w:szCs w:val="22"/>
              </w:rPr>
            </w:pPr>
            <w:r>
              <w:rPr>
                <w:rFonts w:hint="eastAsia" w:ascii="宋体" w:hAnsi="宋体"/>
                <w:sz w:val="22"/>
                <w:szCs w:val="22"/>
              </w:rPr>
              <w:t>— 阀全关到位</w:t>
            </w:r>
          </w:p>
          <w:p>
            <w:pPr>
              <w:ind w:left="420" w:firstLine="420"/>
              <w:rPr>
                <w:rFonts w:ascii="宋体" w:hAnsi="宋体"/>
                <w:sz w:val="22"/>
                <w:szCs w:val="22"/>
              </w:rPr>
            </w:pPr>
            <w:r>
              <w:rPr>
                <w:rFonts w:hint="eastAsia" w:ascii="宋体" w:hAnsi="宋体"/>
                <w:sz w:val="22"/>
                <w:szCs w:val="22"/>
              </w:rPr>
              <w:t>— 阀门正在开</w:t>
            </w:r>
          </w:p>
          <w:p>
            <w:pPr>
              <w:ind w:left="420" w:firstLine="420"/>
              <w:rPr>
                <w:rFonts w:ascii="宋体" w:hAnsi="宋体"/>
                <w:sz w:val="22"/>
                <w:szCs w:val="22"/>
              </w:rPr>
            </w:pPr>
            <w:r>
              <w:rPr>
                <w:rFonts w:hint="eastAsia" w:ascii="宋体" w:hAnsi="宋体"/>
                <w:sz w:val="22"/>
                <w:szCs w:val="22"/>
              </w:rPr>
              <w:t>— 阀门正在关</w:t>
            </w:r>
          </w:p>
          <w:p>
            <w:pPr>
              <w:ind w:left="420" w:firstLine="420"/>
              <w:rPr>
                <w:rFonts w:ascii="宋体" w:hAnsi="宋体"/>
                <w:sz w:val="22"/>
                <w:szCs w:val="22"/>
              </w:rPr>
            </w:pPr>
            <w:r>
              <w:rPr>
                <w:rFonts w:hint="eastAsia" w:ascii="宋体" w:hAnsi="宋体"/>
                <w:sz w:val="22"/>
                <w:szCs w:val="22"/>
              </w:rPr>
              <w:t>— 阀门正在运行</w:t>
            </w:r>
          </w:p>
          <w:p>
            <w:pPr>
              <w:ind w:left="420" w:firstLine="420"/>
              <w:rPr>
                <w:rFonts w:ascii="宋体" w:hAnsi="宋体"/>
                <w:sz w:val="22"/>
                <w:szCs w:val="22"/>
              </w:rPr>
            </w:pPr>
            <w:r>
              <w:rPr>
                <w:rFonts w:hint="eastAsia" w:ascii="宋体" w:hAnsi="宋体"/>
                <w:sz w:val="22"/>
                <w:szCs w:val="22"/>
              </w:rPr>
              <w:t>— 阀门中间位置</w:t>
            </w:r>
          </w:p>
          <w:p>
            <w:pPr>
              <w:ind w:left="840"/>
              <w:rPr>
                <w:rFonts w:ascii="宋体" w:hAnsi="宋体"/>
                <w:sz w:val="22"/>
                <w:szCs w:val="22"/>
              </w:rPr>
            </w:pPr>
            <w:r>
              <w:rPr>
                <w:rFonts w:hint="eastAsia" w:ascii="宋体" w:hAnsi="宋体"/>
                <w:sz w:val="22"/>
                <w:szCs w:val="22"/>
              </w:rPr>
              <w:t>— 阀门关过矩</w:t>
            </w:r>
          </w:p>
          <w:p>
            <w:pPr>
              <w:ind w:left="420" w:firstLine="420"/>
              <w:rPr>
                <w:rFonts w:ascii="宋体" w:hAnsi="宋体"/>
                <w:sz w:val="22"/>
                <w:szCs w:val="22"/>
              </w:rPr>
            </w:pPr>
            <w:r>
              <w:rPr>
                <w:rFonts w:hint="eastAsia" w:ascii="宋体" w:hAnsi="宋体"/>
                <w:sz w:val="22"/>
                <w:szCs w:val="22"/>
              </w:rPr>
              <w:t>— 阀门开过矩</w:t>
            </w:r>
          </w:p>
          <w:p>
            <w:pPr>
              <w:ind w:left="420" w:firstLine="420"/>
              <w:rPr>
                <w:rFonts w:ascii="宋体" w:hAnsi="宋体"/>
                <w:sz w:val="22"/>
                <w:szCs w:val="22"/>
              </w:rPr>
            </w:pPr>
            <w:r>
              <w:rPr>
                <w:rFonts w:hint="eastAsia" w:ascii="宋体" w:hAnsi="宋体"/>
                <w:sz w:val="22"/>
                <w:szCs w:val="22"/>
              </w:rPr>
              <w:t>— 阀门过矩</w:t>
            </w:r>
          </w:p>
          <w:p>
            <w:pPr>
              <w:rPr>
                <w:rFonts w:ascii="宋体" w:hAnsi="宋体"/>
                <w:sz w:val="22"/>
                <w:szCs w:val="22"/>
              </w:rPr>
            </w:pPr>
            <w:r>
              <w:rPr>
                <w:rFonts w:hint="eastAsia" w:ascii="宋体" w:hAnsi="宋体"/>
                <w:sz w:val="22"/>
                <w:szCs w:val="22"/>
              </w:rPr>
              <w:t>同时还应配备有专用的一个“就地／远方”指示反馈触点、一个“综合报警”指示反馈触点。</w:t>
            </w:r>
          </w:p>
          <w:p>
            <w:pPr>
              <w:ind w:firstLine="330" w:firstLineChars="150"/>
              <w:rPr>
                <w:rFonts w:ascii="宋体" w:hAnsi="宋体"/>
                <w:color w:val="FF0000"/>
                <w:sz w:val="22"/>
                <w:szCs w:val="22"/>
              </w:rPr>
            </w:pPr>
            <w:r>
              <w:rPr>
                <w:rFonts w:hint="eastAsia" w:ascii="宋体" w:hAnsi="宋体"/>
                <w:sz w:val="22"/>
                <w:szCs w:val="22"/>
              </w:rPr>
              <w:t>2.8.6 具有中间开度使用情况的电动阀，执行机构应配备4～20mA 阀位信号，阀位信号可根据用户的标准在现场进行免开盖重新校准。</w:t>
            </w:r>
          </w:p>
          <w:p>
            <w:pPr>
              <w:rPr>
                <w:rFonts w:ascii="宋体" w:hAnsi="宋体"/>
                <w:sz w:val="22"/>
                <w:szCs w:val="22"/>
              </w:rPr>
            </w:pPr>
            <w:r>
              <w:rPr>
                <w:rFonts w:hint="eastAsia" w:ascii="宋体" w:hAnsi="宋体"/>
                <w:sz w:val="22"/>
                <w:szCs w:val="22"/>
              </w:rPr>
              <w:t>2.8.7 执行机构自身应具有间断运行功能，间断运行允许执行机构以脉动方式执行关/开动作，以防止阀门受液压冲击和流体喘振。</w:t>
            </w:r>
          </w:p>
          <w:p>
            <w:pPr>
              <w:rPr>
                <w:rFonts w:ascii="宋体" w:hAnsi="宋体"/>
                <w:sz w:val="22"/>
                <w:szCs w:val="22"/>
              </w:rPr>
            </w:pPr>
            <w:r>
              <w:rPr>
                <w:rFonts w:hint="eastAsia" w:ascii="宋体" w:hAnsi="宋体"/>
                <w:sz w:val="22"/>
                <w:szCs w:val="22"/>
              </w:rPr>
              <w:t>2.8.8现场环境高、震动大、不便安装工况位置执行器采用分体式结构，执行机构能够可靠运行，执行机构与控制器之间采用数字信号传输，并配有屏蔽和抗干扰措施。</w:t>
            </w:r>
          </w:p>
          <w:p>
            <w:pPr>
              <w:spacing w:line="360" w:lineRule="auto"/>
              <w:rPr>
                <w:sz w:val="22"/>
                <w:szCs w:val="22"/>
              </w:rPr>
            </w:pPr>
            <w:r>
              <w:rPr>
                <w:rFonts w:hint="eastAsia" w:ascii="宋体" w:hAnsi="宋体"/>
                <w:sz w:val="22"/>
                <w:szCs w:val="22"/>
              </w:rPr>
              <w:t>2.9智能型电动执行机构具有每次通电后的自动巡检功能，以使设备正常工作。</w:t>
            </w:r>
          </w:p>
          <w:p>
            <w:pPr>
              <w:spacing w:line="360" w:lineRule="auto"/>
              <w:rPr>
                <w:sz w:val="22"/>
                <w:szCs w:val="22"/>
              </w:rPr>
            </w:pPr>
            <w:r>
              <w:rPr>
                <w:rFonts w:hint="eastAsia"/>
                <w:sz w:val="22"/>
                <w:szCs w:val="22"/>
              </w:rPr>
              <w:t>2.10执行机构与招标方DCS系统的输入/输出信号应具有隔离措施，以防止现场信号干扰和高电压串入回路，如因高电压串入信号回路导致招标方DCS模件损坏，由投标方负责赔偿损坏的模件。</w:t>
            </w:r>
          </w:p>
          <w:p>
            <w:pPr>
              <w:spacing w:line="360" w:lineRule="auto"/>
              <w:rPr>
                <w:sz w:val="22"/>
                <w:szCs w:val="22"/>
              </w:rPr>
            </w:pPr>
            <w:r>
              <w:rPr>
                <w:rFonts w:hint="eastAsia"/>
                <w:sz w:val="22"/>
                <w:szCs w:val="22"/>
              </w:rPr>
              <w:t>2.11所有电动执行机构的力矩、全行程时间、精度、回差等性能指标能满足热态运行时工艺系统的要求和有关的电动执行机构规范要求,供货执行需提供的产品质量报告。</w:t>
            </w:r>
          </w:p>
          <w:p>
            <w:pPr>
              <w:spacing w:line="360" w:lineRule="auto"/>
              <w:rPr>
                <w:sz w:val="22"/>
                <w:szCs w:val="22"/>
              </w:rPr>
            </w:pPr>
            <w:r>
              <w:rPr>
                <w:rFonts w:hint="eastAsia"/>
                <w:sz w:val="22"/>
                <w:szCs w:val="22"/>
              </w:rPr>
              <w:t>2.12</w:t>
            </w:r>
            <w:r>
              <w:rPr>
                <w:sz w:val="22"/>
                <w:szCs w:val="22"/>
              </w:rPr>
              <w:t>电动执行器</w:t>
            </w:r>
            <w:r>
              <w:rPr>
                <w:rFonts w:hint="eastAsia"/>
                <w:sz w:val="22"/>
                <w:szCs w:val="22"/>
              </w:rPr>
              <w:t>要</w:t>
            </w:r>
            <w:r>
              <w:rPr>
                <w:sz w:val="22"/>
                <w:szCs w:val="22"/>
              </w:rPr>
              <w:t>能满足其工作环境的温度、湿度等要求，其保护等级为IEC标准IP</w:t>
            </w:r>
            <w:r>
              <w:rPr>
                <w:rFonts w:hint="eastAsia"/>
                <w:sz w:val="22"/>
                <w:szCs w:val="22"/>
              </w:rPr>
              <w:t>68</w:t>
            </w:r>
            <w:r>
              <w:rPr>
                <w:sz w:val="22"/>
                <w:szCs w:val="22"/>
              </w:rPr>
              <w:t>，</w:t>
            </w:r>
            <w:r>
              <w:rPr>
                <w:rFonts w:hint="eastAsia"/>
                <w:sz w:val="22"/>
                <w:szCs w:val="22"/>
              </w:rPr>
              <w:t>工作环境温度-30℃~＋70℃，防爆等级CT4。</w:t>
            </w:r>
          </w:p>
          <w:p>
            <w:pPr>
              <w:spacing w:line="360" w:lineRule="auto"/>
              <w:rPr>
                <w:sz w:val="22"/>
                <w:szCs w:val="22"/>
              </w:rPr>
            </w:pPr>
            <w:r>
              <w:rPr>
                <w:rFonts w:hint="eastAsia"/>
                <w:sz w:val="22"/>
                <w:szCs w:val="22"/>
              </w:rPr>
              <w:t>2.13外观</w:t>
            </w:r>
          </w:p>
          <w:p>
            <w:pPr>
              <w:pStyle w:val="2"/>
              <w:adjustRightInd w:val="0"/>
              <w:snapToGrid w:val="0"/>
              <w:spacing w:line="360" w:lineRule="auto"/>
              <w:ind w:left="360" w:firstLine="0"/>
              <w:jc w:val="left"/>
              <w:rPr>
                <w:rFonts w:hint="eastAsia" w:ascii="Calibri" w:hAnsi="Calibri" w:eastAsia="宋体" w:cs="Times New Roman"/>
                <w:kern w:val="2"/>
                <w:sz w:val="22"/>
                <w:szCs w:val="22"/>
                <w:lang w:val="en-US" w:eastAsia="zh-CN" w:bidi="ar-SA"/>
              </w:rPr>
            </w:pPr>
            <w:r>
              <w:rPr>
                <w:rFonts w:hint="eastAsia" w:ascii="Calibri" w:hAnsi="Calibri" w:eastAsia="宋体" w:cs="Times New Roman"/>
                <w:kern w:val="2"/>
                <w:sz w:val="22"/>
                <w:szCs w:val="22"/>
                <w:lang w:val="en-US" w:eastAsia="zh-CN" w:bidi="ar-SA"/>
              </w:rPr>
              <w:t>每个执行机构由防水铝合金材质外壳，金属表面涂镀层、面板及名牌均应光滑平整、紧固件不得松动，可动部件应灵活可靠。油漆采用耐酸蚀漆种，所有涂漆均符合国家有关规定和标准，并能适应当地的环境条件。</w:t>
            </w:r>
          </w:p>
          <w:p>
            <w:pPr>
              <w:spacing w:line="360" w:lineRule="auto"/>
              <w:rPr>
                <w:sz w:val="22"/>
                <w:szCs w:val="22"/>
              </w:rPr>
            </w:pPr>
            <w:r>
              <w:rPr>
                <w:rFonts w:hint="eastAsia"/>
                <w:sz w:val="22"/>
                <w:szCs w:val="22"/>
              </w:rPr>
              <w:t>2.14接线端子</w:t>
            </w:r>
          </w:p>
          <w:p>
            <w:pPr>
              <w:pStyle w:val="16"/>
              <w:spacing w:line="360" w:lineRule="auto"/>
              <w:ind w:left="360" w:firstLine="0" w:firstLineChars="0"/>
              <w:rPr>
                <w:sz w:val="22"/>
                <w:szCs w:val="22"/>
              </w:rPr>
            </w:pPr>
            <w:r>
              <w:rPr>
                <w:rFonts w:hint="eastAsia"/>
                <w:sz w:val="22"/>
                <w:szCs w:val="22"/>
              </w:rPr>
              <w:t>所有的电动执行机构带有接线端子或插座与电力电缆和控制电缆相连。这些插头按照</w:t>
            </w:r>
            <w:r>
              <w:rPr>
                <w:sz w:val="22"/>
                <w:szCs w:val="22"/>
              </w:rPr>
              <w:t>IEC309</w:t>
            </w:r>
            <w:r>
              <w:rPr>
                <w:rFonts w:hint="eastAsia"/>
                <w:sz w:val="22"/>
                <w:szCs w:val="22"/>
              </w:rPr>
              <w:t>，或等同标准，制造完好。对外接线方式：端子排。</w:t>
            </w:r>
          </w:p>
          <w:p>
            <w:pPr>
              <w:spacing w:line="360" w:lineRule="auto"/>
              <w:rPr>
                <w:sz w:val="22"/>
                <w:szCs w:val="22"/>
              </w:rPr>
            </w:pPr>
            <w:r>
              <w:rPr>
                <w:rFonts w:hint="eastAsia"/>
                <w:sz w:val="22"/>
                <w:szCs w:val="22"/>
              </w:rPr>
              <w:t>2.15投标方向招标方提供执行机构详细接线图纸。</w:t>
            </w:r>
          </w:p>
          <w:p>
            <w:pPr>
              <w:spacing w:line="360" w:lineRule="auto"/>
              <w:rPr>
                <w:sz w:val="22"/>
                <w:szCs w:val="22"/>
              </w:rPr>
            </w:pPr>
            <w:r>
              <w:rPr>
                <w:rFonts w:hint="eastAsia" w:ascii="Tahoma" w:hAnsi="Tahoma" w:eastAsia="微软雅黑"/>
                <w:kern w:val="0"/>
                <w:sz w:val="22"/>
                <w:szCs w:val="22"/>
              </w:rPr>
              <w:t>2．16供货范围</w:t>
            </w:r>
          </w:p>
          <w:p>
            <w:pPr>
              <w:rPr>
                <w:rFonts w:ascii="Tahoma" w:hAnsi="Tahoma" w:cs="Tahoma"/>
                <w:color w:val="000000"/>
                <w:szCs w:val="21"/>
                <w:shd w:val="clear" w:color="auto" w:fill="FFFFFF"/>
              </w:rPr>
            </w:pPr>
            <w:r>
              <w:rPr>
                <w:sz w:val="22"/>
                <w:szCs w:val="22"/>
              </w:rPr>
              <w:t>供方提供智能一套功能完整的、全新的设备，包括机械、电子系统，以及对上述设备及材料的设计、制造、检验、包装、运输，且设备的技术经济性能符合技术协议的要求。包括在工作范围之内的还有为项目的建设、试车和运营提供方便的咨询服务、质量监督和人员培训。</w:t>
            </w:r>
          </w:p>
        </w:tc>
      </w:tr>
    </w:tbl>
    <w:p>
      <w:pPr>
        <w:tabs>
          <w:tab w:val="left" w:pos="3111"/>
        </w:tabs>
        <w:jc w:val="left"/>
        <w:rPr>
          <w:b/>
          <w:sz w:val="28"/>
          <w:szCs w:val="28"/>
        </w:rPr>
      </w:pPr>
      <w:r>
        <w:rPr>
          <w:rFonts w:hint="eastAsia"/>
          <w:b/>
          <w:sz w:val="28"/>
          <w:szCs w:val="28"/>
        </w:rPr>
        <w:t>三、质量保证</w:t>
      </w:r>
    </w:p>
    <w:p>
      <w:pPr>
        <w:spacing w:line="360" w:lineRule="auto"/>
        <w:ind w:firstLine="480" w:firstLineChars="200"/>
        <w:rPr>
          <w:sz w:val="24"/>
        </w:rPr>
      </w:pPr>
      <w:r>
        <w:rPr>
          <w:rFonts w:hint="eastAsia"/>
          <w:sz w:val="24"/>
        </w:rPr>
        <w:t>供方对上述产品应确保质量合格，供方必须满足以上现场使用参数，质保期为18个月，质保期间出现任何质量问题，由供方负责免费更换或维修，供方可提供产品终身维修服务。</w:t>
      </w:r>
    </w:p>
    <w:p>
      <w:pPr>
        <w:tabs>
          <w:tab w:val="left" w:pos="3111"/>
        </w:tabs>
        <w:jc w:val="left"/>
        <w:rPr>
          <w:b/>
          <w:sz w:val="28"/>
          <w:szCs w:val="28"/>
        </w:rPr>
      </w:pPr>
      <w:r>
        <w:rPr>
          <w:rFonts w:hint="eastAsia"/>
          <w:b/>
          <w:sz w:val="28"/>
          <w:szCs w:val="28"/>
        </w:rPr>
        <w:t>四、交货相关要求</w:t>
      </w:r>
    </w:p>
    <w:p>
      <w:pPr>
        <w:spacing w:line="360" w:lineRule="auto"/>
        <w:ind w:firstLine="480" w:firstLineChars="200"/>
        <w:rPr>
          <w:sz w:val="24"/>
        </w:rPr>
      </w:pPr>
      <w:r>
        <w:rPr>
          <w:rFonts w:hint="eastAsia"/>
          <w:sz w:val="24"/>
        </w:rPr>
        <w:t>供方按商务合同交货进度时限执行，交货地点为甲方所在地指定地点。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55E5"/>
    <w:multiLevelType w:val="multilevel"/>
    <w:tmpl w:val="468D55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88"/>
    <w:rsid w:val="00012AE8"/>
    <w:rsid w:val="00021578"/>
    <w:rsid w:val="00026D0E"/>
    <w:rsid w:val="00027B05"/>
    <w:rsid w:val="00030317"/>
    <w:rsid w:val="00030941"/>
    <w:rsid w:val="00034054"/>
    <w:rsid w:val="00034CF8"/>
    <w:rsid w:val="000475B2"/>
    <w:rsid w:val="00056909"/>
    <w:rsid w:val="00056F4E"/>
    <w:rsid w:val="00064766"/>
    <w:rsid w:val="0006529E"/>
    <w:rsid w:val="00072709"/>
    <w:rsid w:val="000A7D6C"/>
    <w:rsid w:val="000B4288"/>
    <w:rsid w:val="000D5B73"/>
    <w:rsid w:val="000E19B8"/>
    <w:rsid w:val="000F2BE8"/>
    <w:rsid w:val="001117FC"/>
    <w:rsid w:val="0011336A"/>
    <w:rsid w:val="00150F55"/>
    <w:rsid w:val="00156064"/>
    <w:rsid w:val="001A18D3"/>
    <w:rsid w:val="001A79E6"/>
    <w:rsid w:val="001B5378"/>
    <w:rsid w:val="001C2509"/>
    <w:rsid w:val="001D430A"/>
    <w:rsid w:val="001D603C"/>
    <w:rsid w:val="001E2E4B"/>
    <w:rsid w:val="001E5325"/>
    <w:rsid w:val="00202BC5"/>
    <w:rsid w:val="00211B5A"/>
    <w:rsid w:val="00217B61"/>
    <w:rsid w:val="00235FBB"/>
    <w:rsid w:val="00241010"/>
    <w:rsid w:val="00251CE3"/>
    <w:rsid w:val="00255B7C"/>
    <w:rsid w:val="00276EF7"/>
    <w:rsid w:val="0027764D"/>
    <w:rsid w:val="002931A0"/>
    <w:rsid w:val="00294442"/>
    <w:rsid w:val="00294624"/>
    <w:rsid w:val="002B3813"/>
    <w:rsid w:val="002B6360"/>
    <w:rsid w:val="002D210E"/>
    <w:rsid w:val="002E7770"/>
    <w:rsid w:val="00313260"/>
    <w:rsid w:val="0031657F"/>
    <w:rsid w:val="00331E2E"/>
    <w:rsid w:val="003735E6"/>
    <w:rsid w:val="0037360C"/>
    <w:rsid w:val="003802F4"/>
    <w:rsid w:val="003C44F8"/>
    <w:rsid w:val="003D34AB"/>
    <w:rsid w:val="003E2AC5"/>
    <w:rsid w:val="003E56E0"/>
    <w:rsid w:val="003F7454"/>
    <w:rsid w:val="00402B55"/>
    <w:rsid w:val="00474FFF"/>
    <w:rsid w:val="004843C4"/>
    <w:rsid w:val="004937A5"/>
    <w:rsid w:val="00496DEA"/>
    <w:rsid w:val="004A3908"/>
    <w:rsid w:val="004D6D29"/>
    <w:rsid w:val="00532CB0"/>
    <w:rsid w:val="00534A66"/>
    <w:rsid w:val="00534E79"/>
    <w:rsid w:val="00536243"/>
    <w:rsid w:val="005544DB"/>
    <w:rsid w:val="00564F2C"/>
    <w:rsid w:val="00571278"/>
    <w:rsid w:val="00590370"/>
    <w:rsid w:val="005C0459"/>
    <w:rsid w:val="005D1EF5"/>
    <w:rsid w:val="005D4813"/>
    <w:rsid w:val="005E7D61"/>
    <w:rsid w:val="005F07EC"/>
    <w:rsid w:val="005F6512"/>
    <w:rsid w:val="006001A6"/>
    <w:rsid w:val="00604C63"/>
    <w:rsid w:val="00605BB5"/>
    <w:rsid w:val="006139E9"/>
    <w:rsid w:val="00653A4E"/>
    <w:rsid w:val="0067054D"/>
    <w:rsid w:val="0069707E"/>
    <w:rsid w:val="006F3E69"/>
    <w:rsid w:val="0074065A"/>
    <w:rsid w:val="007609CF"/>
    <w:rsid w:val="00763B87"/>
    <w:rsid w:val="00777233"/>
    <w:rsid w:val="007D1AC2"/>
    <w:rsid w:val="007E33F4"/>
    <w:rsid w:val="00804753"/>
    <w:rsid w:val="008071A5"/>
    <w:rsid w:val="00843506"/>
    <w:rsid w:val="00854248"/>
    <w:rsid w:val="0085702E"/>
    <w:rsid w:val="00865214"/>
    <w:rsid w:val="0087375D"/>
    <w:rsid w:val="00882FB4"/>
    <w:rsid w:val="00895E46"/>
    <w:rsid w:val="008B1362"/>
    <w:rsid w:val="008B26FB"/>
    <w:rsid w:val="008E04B2"/>
    <w:rsid w:val="008E6D77"/>
    <w:rsid w:val="00904BDD"/>
    <w:rsid w:val="00916165"/>
    <w:rsid w:val="00921CA0"/>
    <w:rsid w:val="009361A8"/>
    <w:rsid w:val="009548CE"/>
    <w:rsid w:val="00956395"/>
    <w:rsid w:val="009604D2"/>
    <w:rsid w:val="00980837"/>
    <w:rsid w:val="00993996"/>
    <w:rsid w:val="009E3958"/>
    <w:rsid w:val="00A13421"/>
    <w:rsid w:val="00A24B2B"/>
    <w:rsid w:val="00A5180A"/>
    <w:rsid w:val="00A57E32"/>
    <w:rsid w:val="00A61DDC"/>
    <w:rsid w:val="00A76D26"/>
    <w:rsid w:val="00A94318"/>
    <w:rsid w:val="00AA6407"/>
    <w:rsid w:val="00AB67F5"/>
    <w:rsid w:val="00AD5012"/>
    <w:rsid w:val="00AE12BB"/>
    <w:rsid w:val="00AE66BF"/>
    <w:rsid w:val="00AE6C57"/>
    <w:rsid w:val="00B019B6"/>
    <w:rsid w:val="00B20B91"/>
    <w:rsid w:val="00B53F66"/>
    <w:rsid w:val="00B61B55"/>
    <w:rsid w:val="00B80AE9"/>
    <w:rsid w:val="00B97360"/>
    <w:rsid w:val="00BC1BCF"/>
    <w:rsid w:val="00BC471F"/>
    <w:rsid w:val="00BD3D0D"/>
    <w:rsid w:val="00BF4F8D"/>
    <w:rsid w:val="00BF7126"/>
    <w:rsid w:val="00C24C50"/>
    <w:rsid w:val="00C31E05"/>
    <w:rsid w:val="00C57CE1"/>
    <w:rsid w:val="00C62BAC"/>
    <w:rsid w:val="00C920E9"/>
    <w:rsid w:val="00CB0985"/>
    <w:rsid w:val="00CC4E25"/>
    <w:rsid w:val="00CF760C"/>
    <w:rsid w:val="00D03553"/>
    <w:rsid w:val="00D07E89"/>
    <w:rsid w:val="00D3445D"/>
    <w:rsid w:val="00D35E7A"/>
    <w:rsid w:val="00D451E5"/>
    <w:rsid w:val="00D946A1"/>
    <w:rsid w:val="00DB72AB"/>
    <w:rsid w:val="00DD0314"/>
    <w:rsid w:val="00DE3587"/>
    <w:rsid w:val="00E00BA2"/>
    <w:rsid w:val="00E0167D"/>
    <w:rsid w:val="00E247D9"/>
    <w:rsid w:val="00E25D1B"/>
    <w:rsid w:val="00E46472"/>
    <w:rsid w:val="00E57DAB"/>
    <w:rsid w:val="00E64A30"/>
    <w:rsid w:val="00E76302"/>
    <w:rsid w:val="00E8719D"/>
    <w:rsid w:val="00E901E9"/>
    <w:rsid w:val="00E91D33"/>
    <w:rsid w:val="00EA4726"/>
    <w:rsid w:val="00EA6104"/>
    <w:rsid w:val="00EB092F"/>
    <w:rsid w:val="00EB20D2"/>
    <w:rsid w:val="00EB72D4"/>
    <w:rsid w:val="00EC2DC3"/>
    <w:rsid w:val="00EC5040"/>
    <w:rsid w:val="00EF5618"/>
    <w:rsid w:val="00F01837"/>
    <w:rsid w:val="00F07D17"/>
    <w:rsid w:val="00F2061C"/>
    <w:rsid w:val="00F20D3A"/>
    <w:rsid w:val="00F2762F"/>
    <w:rsid w:val="00F341E5"/>
    <w:rsid w:val="00F477DE"/>
    <w:rsid w:val="00F515FC"/>
    <w:rsid w:val="00F519F3"/>
    <w:rsid w:val="00F641C1"/>
    <w:rsid w:val="00F84707"/>
    <w:rsid w:val="00F91939"/>
    <w:rsid w:val="00FA6BBF"/>
    <w:rsid w:val="00FB4A8F"/>
    <w:rsid w:val="00FD6F28"/>
    <w:rsid w:val="00FF7E38"/>
    <w:rsid w:val="0C13213F"/>
    <w:rsid w:val="155C23A7"/>
    <w:rsid w:val="159F75F8"/>
    <w:rsid w:val="15D36193"/>
    <w:rsid w:val="1EE35DB8"/>
    <w:rsid w:val="485157E8"/>
    <w:rsid w:val="4AF53DAE"/>
    <w:rsid w:val="64CB67FD"/>
    <w:rsid w:val="685B2E1A"/>
    <w:rsid w:val="7B1169D0"/>
    <w:rsid w:val="7CE44550"/>
    <w:rsid w:val="7DA35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7"/>
    <w:qFormat/>
    <w:uiPriority w:val="0"/>
    <w:pPr>
      <w:ind w:left="900" w:hanging="900"/>
    </w:pPr>
    <w:rPr>
      <w:rFonts w:ascii="Times New Roman" w:hAnsi="Times New Roman"/>
      <w:kern w:val="0"/>
      <w:sz w:val="28"/>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u w:val="single"/>
    </w:rPr>
  </w:style>
  <w:style w:type="character" w:customStyle="1" w:styleId="12">
    <w:name w:val="页眉 Char"/>
    <w:link w:val="4"/>
    <w:qFormat/>
    <w:uiPriority w:val="0"/>
    <w:rPr>
      <w:kern w:val="2"/>
      <w:sz w:val="18"/>
      <w:szCs w:val="18"/>
    </w:rPr>
  </w:style>
  <w:style w:type="character" w:customStyle="1" w:styleId="13">
    <w:name w:val="页脚 Char"/>
    <w:link w:val="3"/>
    <w:qFormat/>
    <w:uiPriority w:val="0"/>
    <w:rPr>
      <w:kern w:val="2"/>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
    <w:basedOn w:val="1"/>
    <w:qFormat/>
    <w:uiPriority w:val="0"/>
    <w:pPr>
      <w:widowControl/>
      <w:spacing w:before="100" w:beforeAutospacing="1" w:after="100" w:afterAutospacing="1"/>
      <w:jc w:val="left"/>
    </w:pPr>
    <w:rPr>
      <w:rFonts w:ascii="宋体" w:hAnsi="宋体" w:cs="宋体"/>
      <w:kern w:val="0"/>
      <w:sz w:val="24"/>
    </w:rPr>
  </w:style>
  <w:style w:type="paragraph" w:styleId="16">
    <w:name w:val="List Paragraph"/>
    <w:basedOn w:val="1"/>
    <w:qFormat/>
    <w:uiPriority w:val="99"/>
    <w:pPr>
      <w:ind w:firstLine="420" w:firstLineChars="200"/>
    </w:pPr>
  </w:style>
  <w:style w:type="character" w:customStyle="1" w:styleId="17">
    <w:name w:val="正文文本缩进 2 Char"/>
    <w:basedOn w:val="8"/>
    <w:link w:val="2"/>
    <w:qFormat/>
    <w:uiPriority w:val="0"/>
    <w:rPr>
      <w:rFonts w:ascii="Times New Roman" w:hAnsi="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596</Characters>
  <Lines>4</Lines>
  <Paragraphs>1</Paragraphs>
  <TotalTime>3</TotalTime>
  <ScaleCrop>false</ScaleCrop>
  <LinksUpToDate>false</LinksUpToDate>
  <CharactersWithSpaces>699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2018-02-27T15:05:00Z</dcterms:created>
  <dc:creator>Administrator</dc:creator>
  <cp:lastModifiedBy>侠客</cp:lastModifiedBy>
  <dcterms:modified xsi:type="dcterms:W3CDTF">2020-07-14T14:09:18Z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