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一.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需求真空机组参数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被抽腔室尺寸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Ф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700mm*700mm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极限真空度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X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压升率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0.5pa/h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抽真空时长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45min（从大气压力抽至工作真空度时间，空载、冷态，泵的预热时间除外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2套</w:t>
            </w:r>
          </w:p>
        </w:tc>
      </w:tr>
    </w:tbl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二．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需求真空机组参数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被抽腔室尺寸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0.5m³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极限真空度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X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 xml:space="preserve">4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PA（空炉，冷态）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X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PA（空炉，冷态）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压升率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&lt;1pa/h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抽真空时长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开主阀起抽至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PA量级真空度≤30分钟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261" w:type="dxa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1套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三．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需求真空机组参数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被抽腔室尺寸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2000×</w:t>
            </w:r>
            <w:r>
              <w:rPr>
                <w:rFonts w:asciiTheme="minorEastAsia" w:hAnsiTheme="minorEastAsia" w:eastAsiaTheme="minorEastAsia"/>
                <w:sz w:val="24"/>
              </w:rPr>
              <w:t>17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00（高）mm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极限真空度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6×10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vertAlign w:val="superscript"/>
                <w:lang w:val="zh-CN"/>
              </w:rPr>
              <w:t>-</w:t>
            </w:r>
            <w:r>
              <w:rPr>
                <w:rFonts w:asciiTheme="minorEastAsia" w:hAnsiTheme="minorEastAsia" w:eastAsiaTheme="minorEastAsia"/>
                <w:sz w:val="24"/>
                <w:szCs w:val="24"/>
                <w:vertAlign w:val="superscript"/>
                <w:lang w:val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工作真空度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6×10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vertAlign w:val="superscript"/>
                <w:lang w:val="zh-CN"/>
              </w:rPr>
              <w:t>-</w:t>
            </w:r>
            <w:r>
              <w:rPr>
                <w:rFonts w:asciiTheme="minorEastAsia" w:hAnsiTheme="minorEastAsia" w:eastAsiaTheme="minorEastAsia"/>
                <w:sz w:val="24"/>
                <w:szCs w:val="24"/>
                <w:vertAlign w:val="superscript"/>
                <w:lang w:val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压升率</w:t>
            </w:r>
          </w:p>
        </w:tc>
        <w:tc>
          <w:tcPr>
            <w:tcW w:w="4261" w:type="dxa"/>
            <w:vAlign w:val="top"/>
          </w:tcPr>
          <w:p>
            <w:pPr>
              <w:pStyle w:val="5"/>
              <w:spacing w:line="460" w:lineRule="exact"/>
              <w:ind w:firstLine="0" w:firstLineChars="0"/>
              <w:rPr>
                <w:rFonts w:asciiTheme="minorEastAsia" w:hAnsiTheme="minorEastAsia" w:eastAsiaTheme="minorEastAsia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Cs w:val="24"/>
              </w:rPr>
              <w:t>≤</w:t>
            </w: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0.6</w:t>
            </w:r>
            <w:r>
              <w:rPr>
                <w:rFonts w:asciiTheme="minorEastAsia" w:hAnsiTheme="minorEastAsia" w:eastAsiaTheme="minorEastAsia"/>
                <w:szCs w:val="24"/>
                <w:lang w:val="zh-CN"/>
              </w:rPr>
              <w:t>5</w:t>
            </w: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Pa</w:t>
            </w:r>
            <w:r>
              <w:rPr>
                <w:rFonts w:asciiTheme="minorEastAsia" w:hAnsiTheme="minorEastAsia" w:eastAsiaTheme="minorEastAsia"/>
                <w:szCs w:val="24"/>
                <w:lang w:val="zh-CN"/>
              </w:rPr>
              <w:t>/</w:t>
            </w:r>
            <w:r>
              <w:rPr>
                <w:rFonts w:hint="eastAsia" w:asciiTheme="minorEastAsia" w:hAnsiTheme="minorEastAsia" w:eastAsiaTheme="minorEastAsia"/>
                <w:szCs w:val="24"/>
              </w:rPr>
              <w:t>h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抽真空时长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≤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45min（从大气压力抽至工作真空度时间，空载、冷态，泵的预热时间除外</w:t>
            </w: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261" w:type="dxa"/>
            <w:vAlign w:val="top"/>
          </w:tcPr>
          <w:p>
            <w:pPr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1套</w:t>
            </w: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注：真空机组包含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真空泵组合，支架，KF接口的真空波纹管，数字式复合真空计，气动阀门，电磁阀门和高真空控制系统等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WTx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WTxt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 Ligh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S Gothic">
    <w:panose1 w:val="020B0609070205080204"/>
    <w:charset w:val="80"/>
    <w:family w:val="auto"/>
    <w:pitch w:val="default"/>
    <w:sig w:usb0="A00002BF" w:usb1="68C7FCFB" w:usb2="00000010" w:usb3="00000000" w:csb0="4002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FF3595"/>
    <w:rsid w:val="1987159E"/>
    <w:rsid w:val="272A66D7"/>
    <w:rsid w:val="2F7A6BA1"/>
    <w:rsid w:val="3AB56749"/>
    <w:rsid w:val="4073495D"/>
    <w:rsid w:val="648566D6"/>
    <w:rsid w:val="6B22708F"/>
    <w:rsid w:val="7D7F2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样式3"/>
    <w:basedOn w:val="1"/>
    <w:qFormat/>
    <w:uiPriority w:val="0"/>
    <w:pPr>
      <w:ind w:firstLine="360" w:firstLineChars="150"/>
    </w:pPr>
    <w:rPr>
      <w:rFonts w:ascii="宋体" w:hAnsi="宋体"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2017-07-25T00:14:43Z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