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 xml:space="preserve">GOVBUY </w:t>
      </w:r>
      <w:r>
        <w:rPr>
          <w:rFonts w:hint="eastAsia"/>
        </w:rPr>
        <w:t xml:space="preserve"> </w:t>
      </w:r>
      <w:r>
        <w:t>ENQUIRY</w:t>
      </w:r>
    </w:p>
    <w:p>
      <w:pPr>
        <w:jc w:val="center"/>
        <w:rPr>
          <w:sz w:val="36"/>
          <w:szCs w:val="36"/>
        </w:rPr>
      </w:pPr>
      <w:r>
        <w:rPr>
          <w:rFonts w:hint="eastAsia"/>
          <w:sz w:val="36"/>
          <w:szCs w:val="36"/>
        </w:rPr>
        <w:t>报价截止时间：11</w:t>
      </w:r>
      <w:r>
        <w:rPr>
          <w:rFonts w:hint="eastAsia" w:asciiTheme="minorEastAsia" w:hAnsiTheme="minorEastAsia" w:eastAsiaTheme="minorEastAsia" w:cstheme="minorEastAsia"/>
          <w:sz w:val="36"/>
          <w:szCs w:val="36"/>
        </w:rPr>
        <w:t>月23号</w:t>
      </w:r>
    </w:p>
    <w:p>
      <w:pPr>
        <w:jc w:val="center"/>
        <w:rPr>
          <w:sz w:val="44"/>
          <w:szCs w:val="44"/>
        </w:rPr>
      </w:pPr>
    </w:p>
    <w:p>
      <w:pPr>
        <w:jc w:val="left"/>
        <w:rPr>
          <w:b/>
          <w:bCs/>
          <w:sz w:val="30"/>
          <w:szCs w:val="30"/>
        </w:rPr>
      </w:pPr>
      <w:r>
        <w:rPr>
          <w:b/>
          <w:bCs/>
          <w:sz w:val="30"/>
          <w:szCs w:val="30"/>
        </w:rPr>
        <w:t>一、Buyer</w:t>
      </w:r>
      <w:r>
        <w:rPr>
          <w:rFonts w:hint="eastAsia"/>
          <w:b/>
          <w:bCs/>
          <w:sz w:val="30"/>
          <w:szCs w:val="30"/>
        </w:rPr>
        <w:t>（</w:t>
      </w:r>
      <w:r>
        <w:rPr>
          <w:b/>
          <w:bCs/>
          <w:sz w:val="30"/>
          <w:szCs w:val="30"/>
        </w:rPr>
        <w:t>采购方</w:t>
      </w:r>
      <w:r>
        <w:rPr>
          <w:rFonts w:hint="eastAsia"/>
          <w:b/>
          <w:bCs/>
          <w:sz w:val="30"/>
          <w:szCs w:val="30"/>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3295" w:type="dxa"/>
            <w:vAlign w:val="center"/>
          </w:tcPr>
          <w:p>
            <w:pPr>
              <w:rPr>
                <w:sz w:val="24"/>
              </w:rPr>
            </w:pPr>
            <w:r>
              <w:rPr>
                <w:sz w:val="24"/>
              </w:rPr>
              <w:t>Company name</w:t>
            </w:r>
          </w:p>
        </w:tc>
        <w:tc>
          <w:tcPr>
            <w:tcW w:w="7001" w:type="dxa"/>
            <w:vAlign w:val="center"/>
          </w:tcPr>
          <w:p>
            <w:pPr>
              <w:rPr>
                <w:sz w:val="24"/>
              </w:rPr>
            </w:pPr>
            <w:r>
              <w:rPr>
                <w:sz w:val="24"/>
              </w:rPr>
              <w:t>Elite Textile Trading 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295" w:type="dxa"/>
            <w:vAlign w:val="center"/>
          </w:tcPr>
          <w:p>
            <w:pPr>
              <w:rPr>
                <w:sz w:val="24"/>
              </w:rPr>
            </w:pPr>
            <w:r>
              <w:rPr>
                <w:sz w:val="24"/>
              </w:rPr>
              <w:t>Address</w:t>
            </w:r>
          </w:p>
        </w:tc>
        <w:tc>
          <w:tcPr>
            <w:tcW w:w="7001" w:type="dxa"/>
            <w:vAlign w:val="center"/>
          </w:tcPr>
          <w:p>
            <w:pPr>
              <w:rPr>
                <w:sz w:val="24"/>
              </w:rPr>
            </w:pPr>
            <w:r>
              <w:rPr>
                <w:sz w:val="24"/>
              </w:rPr>
              <w:t>300 Spectrum Center Drive Suite 400，Irvine C</w:t>
            </w:r>
            <w:r>
              <w:rPr>
                <w:rFonts w:hint="eastAsia"/>
                <w:sz w:val="24"/>
              </w:rPr>
              <w:t>A</w:t>
            </w:r>
            <w:r>
              <w:rPr>
                <w:sz w:val="24"/>
              </w:rPr>
              <w:t xml:space="preserve"> 92618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295" w:type="dxa"/>
            <w:vAlign w:val="center"/>
          </w:tcPr>
          <w:p>
            <w:pPr>
              <w:rPr>
                <w:sz w:val="24"/>
              </w:rPr>
            </w:pPr>
            <w:r>
              <w:rPr>
                <w:sz w:val="24"/>
              </w:rPr>
              <w:t>中国苏州办公室</w:t>
            </w:r>
          </w:p>
        </w:tc>
        <w:tc>
          <w:tcPr>
            <w:tcW w:w="7001" w:type="dxa"/>
            <w:vAlign w:val="center"/>
          </w:tcPr>
          <w:p>
            <w:pPr>
              <w:rPr>
                <w:sz w:val="24"/>
              </w:rPr>
            </w:pPr>
            <w:r>
              <w:rPr>
                <w:sz w:val="24"/>
              </w:rPr>
              <w:t>苏州市吴中区郭巷街道吴淞江大道111号天运广场5号楼21楼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295" w:type="dxa"/>
            <w:vAlign w:val="center"/>
          </w:tcPr>
          <w:p>
            <w:pPr>
              <w:rPr>
                <w:sz w:val="24"/>
              </w:rPr>
            </w:pPr>
            <w:r>
              <w:rPr>
                <w:sz w:val="24"/>
              </w:rPr>
              <w:t>电话</w:t>
            </w:r>
          </w:p>
        </w:tc>
        <w:tc>
          <w:tcPr>
            <w:tcW w:w="7001" w:type="dxa"/>
            <w:vAlign w:val="center"/>
          </w:tcPr>
          <w:p>
            <w:pPr>
              <w:rPr>
                <w:sz w:val="24"/>
              </w:rPr>
            </w:pPr>
            <w:r>
              <w:rPr>
                <w:sz w:val="24"/>
              </w:rPr>
              <w:t>0512-65630708、17712662220、15306130295</w:t>
            </w:r>
          </w:p>
        </w:tc>
      </w:tr>
    </w:tbl>
    <w:p>
      <w:pPr>
        <w:jc w:val="left"/>
        <w:rPr>
          <w:sz w:val="30"/>
          <w:szCs w:val="30"/>
        </w:rPr>
      </w:pPr>
    </w:p>
    <w:p>
      <w:pPr>
        <w:jc w:val="left"/>
        <w:rPr>
          <w:b/>
          <w:bCs/>
          <w:sz w:val="30"/>
          <w:szCs w:val="30"/>
        </w:rPr>
      </w:pPr>
      <w:r>
        <w:rPr>
          <w:b/>
          <w:bCs/>
          <w:sz w:val="30"/>
          <w:szCs w:val="30"/>
        </w:rPr>
        <w:t>二、Supplier</w:t>
      </w:r>
      <w:r>
        <w:rPr>
          <w:rFonts w:hint="eastAsia"/>
          <w:b/>
          <w:bCs/>
          <w:sz w:val="30"/>
          <w:szCs w:val="30"/>
        </w:rPr>
        <w:t>（</w:t>
      </w:r>
      <w:r>
        <w:rPr>
          <w:b/>
          <w:bCs/>
          <w:sz w:val="30"/>
          <w:szCs w:val="30"/>
        </w:rPr>
        <w:t>供应商</w:t>
      </w:r>
      <w:r>
        <w:rPr>
          <w:rFonts w:hint="eastAsia"/>
          <w:b/>
          <w:bCs/>
          <w:sz w:val="30"/>
          <w:szCs w:val="30"/>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295" w:type="dxa"/>
            <w:vAlign w:val="center"/>
          </w:tcPr>
          <w:p>
            <w:pPr>
              <w:rPr>
                <w:sz w:val="24"/>
              </w:rPr>
            </w:pPr>
            <w:r>
              <w:rPr>
                <w:sz w:val="24"/>
              </w:rPr>
              <w:t>Company name公司名</w:t>
            </w:r>
          </w:p>
        </w:tc>
        <w:tc>
          <w:tcPr>
            <w:tcW w:w="700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295" w:type="dxa"/>
            <w:vAlign w:val="center"/>
          </w:tcPr>
          <w:p>
            <w:pPr>
              <w:rPr>
                <w:sz w:val="24"/>
              </w:rPr>
            </w:pPr>
            <w:r>
              <w:rPr>
                <w:sz w:val="24"/>
              </w:rPr>
              <w:t>Address地址</w:t>
            </w:r>
          </w:p>
        </w:tc>
        <w:tc>
          <w:tcPr>
            <w:tcW w:w="700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295" w:type="dxa"/>
            <w:vAlign w:val="center"/>
          </w:tcPr>
          <w:p>
            <w:pPr>
              <w:rPr>
                <w:sz w:val="24"/>
              </w:rPr>
            </w:pPr>
            <w:r>
              <w:rPr>
                <w:sz w:val="24"/>
              </w:rPr>
              <w:t>Contact联系人</w:t>
            </w:r>
          </w:p>
        </w:tc>
        <w:tc>
          <w:tcPr>
            <w:tcW w:w="700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295" w:type="dxa"/>
            <w:vAlign w:val="center"/>
          </w:tcPr>
          <w:p>
            <w:pPr>
              <w:rPr>
                <w:sz w:val="24"/>
              </w:rPr>
            </w:pPr>
            <w:r>
              <w:rPr>
                <w:sz w:val="24"/>
              </w:rPr>
              <w:t>Tel联系电话</w:t>
            </w:r>
          </w:p>
        </w:tc>
        <w:tc>
          <w:tcPr>
            <w:tcW w:w="7001" w:type="dxa"/>
            <w:vAlign w:val="center"/>
          </w:tcPr>
          <w:p>
            <w:pPr>
              <w:rPr>
                <w:sz w:val="24"/>
              </w:rPr>
            </w:pPr>
          </w:p>
        </w:tc>
      </w:tr>
    </w:tbl>
    <w:p>
      <w:pPr>
        <w:jc w:val="left"/>
        <w:rPr>
          <w:sz w:val="30"/>
          <w:szCs w:val="30"/>
        </w:rPr>
      </w:pPr>
    </w:p>
    <w:p>
      <w:pPr>
        <w:jc w:val="left"/>
        <w:rPr>
          <w:b/>
          <w:bCs/>
          <w:sz w:val="24"/>
          <w:u w:val="single"/>
        </w:rPr>
      </w:pPr>
      <w:r>
        <w:rPr>
          <w:rFonts w:hint="eastAsia"/>
          <w:b/>
          <w:bCs/>
          <w:sz w:val="30"/>
          <w:szCs w:val="30"/>
        </w:rPr>
        <w:t>三</w:t>
      </w:r>
      <w:r>
        <w:rPr>
          <w:b/>
          <w:bCs/>
          <w:sz w:val="30"/>
          <w:szCs w:val="30"/>
        </w:rPr>
        <w:t>、</w:t>
      </w:r>
      <w:r>
        <w:rPr>
          <w:rFonts w:hint="eastAsia"/>
          <w:b/>
          <w:bCs/>
          <w:sz w:val="30"/>
          <w:szCs w:val="30"/>
        </w:rPr>
        <w:t>Product（产品信息）</w:t>
      </w:r>
    </w:p>
    <w:tbl>
      <w:tblPr>
        <w:tblStyle w:val="8"/>
        <w:tblW w:w="10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2625"/>
        <w:gridCol w:w="2093"/>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2752" w:type="dxa"/>
            <w:vAlign w:val="center"/>
          </w:tcPr>
          <w:p>
            <w:pPr>
              <w:rPr>
                <w:sz w:val="24"/>
              </w:rPr>
            </w:pPr>
            <w:r>
              <w:rPr>
                <w:sz w:val="24"/>
              </w:rPr>
              <w:t>Country国家</w:t>
            </w:r>
          </w:p>
        </w:tc>
        <w:tc>
          <w:tcPr>
            <w:tcW w:w="2625" w:type="dxa"/>
            <w:vAlign w:val="center"/>
          </w:tcPr>
          <w:p>
            <w:pPr>
              <w:rPr>
                <w:sz w:val="24"/>
              </w:rPr>
            </w:pPr>
            <w:r>
              <w:rPr>
                <w:rFonts w:hint="eastAsia"/>
                <w:sz w:val="24"/>
              </w:rPr>
              <w:t>加拿大</w:t>
            </w:r>
          </w:p>
        </w:tc>
        <w:tc>
          <w:tcPr>
            <w:tcW w:w="2093" w:type="dxa"/>
            <w:vAlign w:val="center"/>
          </w:tcPr>
          <w:p>
            <w:pPr>
              <w:ind w:left="240" w:hanging="240" w:hangingChars="100"/>
              <w:rPr>
                <w:sz w:val="24"/>
              </w:rPr>
            </w:pPr>
            <w:r>
              <w:rPr>
                <w:sz w:val="24"/>
              </w:rPr>
              <w:t>State州</w:t>
            </w:r>
          </w:p>
        </w:tc>
        <w:tc>
          <w:tcPr>
            <w:tcW w:w="2800" w:type="dxa"/>
            <w:vAlign w:val="center"/>
          </w:tcPr>
          <w:p>
            <w:pPr>
              <w:ind w:left="240" w:hanging="240" w:hangingChars="100"/>
              <w:rPr>
                <w:sz w:val="24"/>
              </w:rPr>
            </w:pPr>
            <w:r>
              <w:rPr>
                <w:sz w:val="24"/>
              </w:rPr>
              <w:t>The Nova Scotia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752" w:type="dxa"/>
            <w:vAlign w:val="center"/>
          </w:tcPr>
          <w:p>
            <w:pPr>
              <w:rPr>
                <w:sz w:val="24"/>
              </w:rPr>
            </w:pPr>
            <w:r>
              <w:rPr>
                <w:color w:val="273840"/>
                <w:sz w:val="20"/>
                <w:szCs w:val="20"/>
                <w:shd w:val="clear" w:color="auto" w:fill="FFFFFF"/>
              </w:rPr>
              <w:t>Department部门</w:t>
            </w:r>
          </w:p>
        </w:tc>
        <w:tc>
          <w:tcPr>
            <w:tcW w:w="2625" w:type="dxa"/>
            <w:vAlign w:val="center"/>
          </w:tcPr>
          <w:p>
            <w:pPr>
              <w:jc w:val="left"/>
              <w:rPr>
                <w:szCs w:val="21"/>
              </w:rPr>
            </w:pPr>
            <w:r>
              <w:t>HALIFAX REGIONAL MUNICIPALITY</w:t>
            </w:r>
          </w:p>
        </w:tc>
        <w:tc>
          <w:tcPr>
            <w:tcW w:w="2093" w:type="dxa"/>
            <w:vAlign w:val="center"/>
          </w:tcPr>
          <w:p>
            <w:pPr>
              <w:rPr>
                <w:sz w:val="24"/>
                <w:shd w:val="clear" w:color="auto" w:fill="FFFFFF"/>
              </w:rPr>
            </w:pPr>
            <w:r>
              <w:rPr>
                <w:sz w:val="24"/>
                <w:shd w:val="clear" w:color="auto" w:fill="FFFFFF"/>
              </w:rPr>
              <w:t>Solicitati</w:t>
            </w:r>
            <w:r>
              <w:rPr>
                <w:rFonts w:hint="eastAsia"/>
                <w:sz w:val="24"/>
                <w:shd w:val="clear" w:color="auto" w:fill="FFFFFF"/>
              </w:rPr>
              <w:t>on编号</w:t>
            </w:r>
          </w:p>
        </w:tc>
        <w:tc>
          <w:tcPr>
            <w:tcW w:w="2800" w:type="dxa"/>
            <w:vAlign w:val="center"/>
          </w:tcPr>
          <w:p>
            <w:pPr>
              <w:rPr>
                <w:sz w:val="24"/>
              </w:rPr>
            </w:pPr>
            <w:r>
              <w:t>20-431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752" w:type="dxa"/>
            <w:vAlign w:val="center"/>
          </w:tcPr>
          <w:p>
            <w:pPr>
              <w:rPr>
                <w:sz w:val="24"/>
              </w:rPr>
            </w:pPr>
            <w:r>
              <w:rPr>
                <w:sz w:val="24"/>
              </w:rPr>
              <w:t>Published发布</w:t>
            </w:r>
          </w:p>
        </w:tc>
        <w:tc>
          <w:tcPr>
            <w:tcW w:w="2625" w:type="dxa"/>
            <w:vAlign w:val="center"/>
          </w:tcPr>
          <w:p>
            <w:pPr>
              <w:rPr>
                <w:szCs w:val="21"/>
              </w:rPr>
            </w:pPr>
            <w:r>
              <w:rPr>
                <w:rFonts w:hint="eastAsia"/>
                <w:szCs w:val="21"/>
              </w:rPr>
              <w:t>11.11</w:t>
            </w:r>
          </w:p>
        </w:tc>
        <w:tc>
          <w:tcPr>
            <w:tcW w:w="2093" w:type="dxa"/>
            <w:vAlign w:val="center"/>
          </w:tcPr>
          <w:p>
            <w:pPr>
              <w:rPr>
                <w:sz w:val="24"/>
                <w:shd w:val="clear" w:color="auto" w:fill="FFFFFF"/>
              </w:rPr>
            </w:pPr>
            <w:r>
              <w:rPr>
                <w:sz w:val="24"/>
                <w:shd w:val="clear" w:color="auto" w:fill="FFFFFF"/>
              </w:rPr>
              <w:t>Closing截止</w:t>
            </w:r>
          </w:p>
        </w:tc>
        <w:tc>
          <w:tcPr>
            <w:tcW w:w="2800" w:type="dxa"/>
            <w:vAlign w:val="center"/>
          </w:tcPr>
          <w:p>
            <w:pPr>
              <w:rPr>
                <w:sz w:val="24"/>
              </w:rPr>
            </w:pPr>
            <w:r>
              <w:rPr>
                <w:rFonts w:hint="eastAsia"/>
                <w:sz w:val="24"/>
              </w:rPr>
              <w:t>11.26</w:t>
            </w:r>
          </w:p>
        </w:tc>
      </w:tr>
    </w:tbl>
    <w:p>
      <w:pPr>
        <w:jc w:val="left"/>
        <w:rPr>
          <w:sz w:val="24"/>
          <w:u w:val="single"/>
        </w:rPr>
      </w:pPr>
    </w:p>
    <w:p>
      <w:pPr>
        <w:jc w:val="left"/>
        <w:rPr>
          <w:sz w:val="24"/>
          <w:u w:val="single"/>
        </w:rPr>
      </w:pPr>
    </w:p>
    <w:p>
      <w:pPr>
        <w:jc w:val="left"/>
        <w:rPr>
          <w:sz w:val="24"/>
          <w:u w:val="single"/>
        </w:rPr>
      </w:pPr>
    </w:p>
    <w:p>
      <w:pPr>
        <w:jc w:val="left"/>
        <w:rPr>
          <w:sz w:val="24"/>
          <w:u w:val="single"/>
        </w:rPr>
      </w:pP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275"/>
        <w:gridCol w:w="993"/>
        <w:gridCol w:w="992"/>
        <w:gridCol w:w="1134"/>
        <w:gridCol w:w="17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5" w:type="dxa"/>
            <w:vMerge w:val="restart"/>
            <w:vAlign w:val="center"/>
          </w:tcPr>
          <w:p>
            <w:pPr>
              <w:jc w:val="center"/>
              <w:rPr>
                <w:sz w:val="20"/>
              </w:rPr>
            </w:pPr>
            <w:r>
              <w:rPr>
                <w:sz w:val="20"/>
              </w:rPr>
              <w:t>NO.                  编号</w:t>
            </w:r>
          </w:p>
        </w:tc>
        <w:tc>
          <w:tcPr>
            <w:tcW w:w="2127" w:type="dxa"/>
            <w:vMerge w:val="restart"/>
            <w:vAlign w:val="center"/>
          </w:tcPr>
          <w:p>
            <w:pPr>
              <w:jc w:val="center"/>
              <w:rPr>
                <w:sz w:val="20"/>
              </w:rPr>
            </w:pPr>
            <w:r>
              <w:rPr>
                <w:sz w:val="20"/>
              </w:rPr>
              <w:t>ITEM</w:t>
            </w:r>
          </w:p>
          <w:p>
            <w:pPr>
              <w:jc w:val="center"/>
              <w:rPr>
                <w:sz w:val="20"/>
              </w:rPr>
            </w:pPr>
            <w:r>
              <w:rPr>
                <w:sz w:val="20"/>
              </w:rPr>
              <w:t>产品</w:t>
            </w:r>
          </w:p>
        </w:tc>
        <w:tc>
          <w:tcPr>
            <w:tcW w:w="1275" w:type="dxa"/>
            <w:vMerge w:val="restart"/>
            <w:vAlign w:val="center"/>
          </w:tcPr>
          <w:p>
            <w:pPr>
              <w:ind w:left="200" w:hanging="200" w:hangingChars="100"/>
              <w:rPr>
                <w:sz w:val="20"/>
              </w:rPr>
            </w:pPr>
            <w:r>
              <w:rPr>
                <w:rFonts w:hint="eastAsia"/>
                <w:sz w:val="20"/>
              </w:rPr>
              <w:t>Unit Type Request</w:t>
            </w:r>
            <w:r>
              <w:rPr>
                <w:sz w:val="20"/>
              </w:rPr>
              <w:br w:type="textWrapping"/>
            </w:r>
            <w:r>
              <w:rPr>
                <w:rFonts w:hint="eastAsia"/>
                <w:sz w:val="20"/>
              </w:rPr>
              <w:t>单位</w:t>
            </w:r>
          </w:p>
        </w:tc>
        <w:tc>
          <w:tcPr>
            <w:tcW w:w="3119" w:type="dxa"/>
            <w:gridSpan w:val="3"/>
            <w:vAlign w:val="center"/>
          </w:tcPr>
          <w:p>
            <w:pPr>
              <w:ind w:left="200" w:hanging="200" w:hangingChars="100"/>
              <w:jc w:val="center"/>
              <w:rPr>
                <w:sz w:val="20"/>
              </w:rPr>
            </w:pPr>
            <w:r>
              <w:rPr>
                <w:sz w:val="20"/>
              </w:rPr>
              <w:t>QUANTITY</w:t>
            </w:r>
          </w:p>
          <w:p>
            <w:pPr>
              <w:ind w:left="200" w:hanging="200" w:hangingChars="100"/>
              <w:jc w:val="center"/>
              <w:rPr>
                <w:sz w:val="20"/>
              </w:rPr>
            </w:pPr>
            <w:r>
              <w:rPr>
                <w:rFonts w:hint="eastAsia"/>
                <w:sz w:val="20"/>
              </w:rPr>
              <w:t>数量</w:t>
            </w:r>
            <w:r>
              <w:rPr>
                <w:sz w:val="20"/>
              </w:rPr>
              <w:t xml:space="preserve">       </w:t>
            </w:r>
          </w:p>
        </w:tc>
        <w:tc>
          <w:tcPr>
            <w:tcW w:w="1700" w:type="dxa"/>
            <w:vAlign w:val="center"/>
          </w:tcPr>
          <w:p>
            <w:pPr>
              <w:ind w:left="200" w:hanging="200" w:hangingChars="100"/>
              <w:jc w:val="center"/>
              <w:rPr>
                <w:sz w:val="20"/>
              </w:rPr>
            </w:pPr>
            <w:r>
              <w:rPr>
                <w:sz w:val="20"/>
              </w:rPr>
              <w:t>UNIT PRICE</w:t>
            </w:r>
          </w:p>
          <w:p>
            <w:pPr>
              <w:ind w:left="200" w:hanging="200" w:hangingChars="100"/>
              <w:jc w:val="center"/>
              <w:rPr>
                <w:sz w:val="20"/>
              </w:rPr>
            </w:pPr>
            <w:r>
              <w:rPr>
                <w:sz w:val="20"/>
              </w:rPr>
              <w:t xml:space="preserve">含税单价          </w:t>
            </w:r>
          </w:p>
        </w:tc>
        <w:tc>
          <w:tcPr>
            <w:tcW w:w="1560" w:type="dxa"/>
            <w:vAlign w:val="center"/>
          </w:tcPr>
          <w:p>
            <w:pPr>
              <w:jc w:val="center"/>
              <w:rPr>
                <w:sz w:val="20"/>
              </w:rPr>
            </w:pPr>
            <w:r>
              <w:rPr>
                <w:sz w:val="20"/>
              </w:rPr>
              <w:t>DELIVERY TIME交期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vAlign w:val="center"/>
          </w:tcPr>
          <w:p>
            <w:pPr>
              <w:jc w:val="center"/>
              <w:rPr>
                <w:sz w:val="20"/>
              </w:rPr>
            </w:pPr>
          </w:p>
        </w:tc>
        <w:tc>
          <w:tcPr>
            <w:tcW w:w="2127" w:type="dxa"/>
            <w:vMerge w:val="continue"/>
            <w:vAlign w:val="center"/>
          </w:tcPr>
          <w:p>
            <w:pPr>
              <w:jc w:val="center"/>
              <w:rPr>
                <w:sz w:val="20"/>
              </w:rPr>
            </w:pPr>
          </w:p>
        </w:tc>
        <w:tc>
          <w:tcPr>
            <w:tcW w:w="1275" w:type="dxa"/>
            <w:vMerge w:val="continue"/>
          </w:tcPr>
          <w:p>
            <w:pPr>
              <w:jc w:val="center"/>
              <w:rPr>
                <w:sz w:val="20"/>
              </w:rPr>
            </w:pPr>
          </w:p>
        </w:tc>
        <w:tc>
          <w:tcPr>
            <w:tcW w:w="993" w:type="dxa"/>
            <w:vAlign w:val="center"/>
          </w:tcPr>
          <w:p>
            <w:pPr>
              <w:jc w:val="center"/>
              <w:rPr>
                <w:sz w:val="20"/>
                <w:shd w:val="clear" w:color="auto" w:fill="FFFFFF"/>
              </w:rPr>
            </w:pPr>
            <w:r>
              <w:rPr>
                <w:rFonts w:hint="eastAsia"/>
                <w:sz w:val="20"/>
                <w:shd w:val="clear" w:color="auto" w:fill="FFFFFF"/>
              </w:rPr>
              <w:t>2020-21</w:t>
            </w:r>
          </w:p>
        </w:tc>
        <w:tc>
          <w:tcPr>
            <w:tcW w:w="992" w:type="dxa"/>
            <w:vAlign w:val="center"/>
          </w:tcPr>
          <w:p>
            <w:pPr>
              <w:jc w:val="center"/>
              <w:rPr>
                <w:sz w:val="20"/>
              </w:rPr>
            </w:pPr>
            <w:r>
              <w:rPr>
                <w:rFonts w:hint="eastAsia"/>
                <w:sz w:val="20"/>
              </w:rPr>
              <w:t>2021-22</w:t>
            </w:r>
          </w:p>
        </w:tc>
        <w:tc>
          <w:tcPr>
            <w:tcW w:w="1134" w:type="dxa"/>
            <w:vAlign w:val="center"/>
          </w:tcPr>
          <w:p>
            <w:pPr>
              <w:jc w:val="center"/>
              <w:rPr>
                <w:sz w:val="20"/>
              </w:rPr>
            </w:pPr>
            <w:r>
              <w:rPr>
                <w:rFonts w:hint="eastAsia"/>
                <w:sz w:val="20"/>
              </w:rPr>
              <w:t>2022-23</w:t>
            </w:r>
          </w:p>
        </w:tc>
        <w:tc>
          <w:tcPr>
            <w:tcW w:w="1700" w:type="dxa"/>
            <w:vAlign w:val="center"/>
          </w:tcPr>
          <w:p>
            <w:pPr>
              <w:jc w:val="center"/>
              <w:rPr>
                <w:sz w:val="20"/>
              </w:rPr>
            </w:pPr>
          </w:p>
        </w:tc>
        <w:tc>
          <w:tcPr>
            <w:tcW w:w="1560"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Align w:val="center"/>
          </w:tcPr>
          <w:p>
            <w:pPr>
              <w:jc w:val="center"/>
              <w:rPr>
                <w:sz w:val="20"/>
              </w:rPr>
            </w:pPr>
            <w:r>
              <w:rPr>
                <w:rFonts w:hint="eastAsia"/>
                <w:sz w:val="20"/>
              </w:rPr>
              <w:t>1</w:t>
            </w:r>
          </w:p>
        </w:tc>
        <w:tc>
          <w:tcPr>
            <w:tcW w:w="2127" w:type="dxa"/>
            <w:vAlign w:val="center"/>
          </w:tcPr>
          <w:p>
            <w:pPr>
              <w:jc w:val="center"/>
              <w:rPr>
                <w:sz w:val="20"/>
                <w:szCs w:val="21"/>
              </w:rPr>
            </w:pPr>
            <w:r>
              <w:t>MEETING CHAIR</w:t>
            </w:r>
            <w:r>
              <w:rPr>
                <w:rFonts w:hint="eastAsia"/>
                <w:sz w:val="20"/>
              </w:rPr>
              <w:br w:type="textWrapping"/>
            </w:r>
            <w:r>
              <w:rPr>
                <w:rFonts w:hint="eastAsia"/>
                <w:sz w:val="20"/>
                <w:szCs w:val="21"/>
              </w:rPr>
              <w:t>会议室椅子</w:t>
            </w:r>
          </w:p>
        </w:tc>
        <w:tc>
          <w:tcPr>
            <w:tcW w:w="1275" w:type="dxa"/>
          </w:tcPr>
          <w:p>
            <w:pPr>
              <w:jc w:val="center"/>
              <w:rPr>
                <w:sz w:val="20"/>
                <w:shd w:val="clear" w:color="auto" w:fill="FFFFFF"/>
              </w:rPr>
            </w:pPr>
            <w:r>
              <w:rPr>
                <w:rFonts w:hint="eastAsia"/>
                <w:sz w:val="20"/>
              </w:rPr>
              <w:t>Each</w:t>
            </w:r>
            <w:r>
              <w:rPr>
                <w:rFonts w:hint="eastAsia"/>
                <w:sz w:val="20"/>
              </w:rPr>
              <w:br w:type="textWrapping"/>
            </w:r>
            <w:r>
              <w:rPr>
                <w:rFonts w:hint="eastAsia"/>
                <w:sz w:val="20"/>
              </w:rPr>
              <w:t>一个</w:t>
            </w:r>
          </w:p>
        </w:tc>
        <w:tc>
          <w:tcPr>
            <w:tcW w:w="993" w:type="dxa"/>
            <w:vAlign w:val="center"/>
          </w:tcPr>
          <w:p>
            <w:pPr>
              <w:jc w:val="center"/>
              <w:rPr>
                <w:rFonts w:hint="eastAsia" w:eastAsia="宋体"/>
                <w:sz w:val="20"/>
                <w:shd w:val="clear" w:color="auto" w:fill="FFFFFF"/>
                <w:lang w:val="en-US" w:eastAsia="zh-CN"/>
              </w:rPr>
            </w:pPr>
            <w:r>
              <w:rPr>
                <w:rFonts w:hint="eastAsia"/>
                <w:sz w:val="20"/>
                <w:shd w:val="clear" w:color="auto" w:fill="FFFFFF"/>
              </w:rPr>
              <w:t>125</w:t>
            </w:r>
          </w:p>
        </w:tc>
        <w:tc>
          <w:tcPr>
            <w:tcW w:w="992" w:type="dxa"/>
            <w:vAlign w:val="center"/>
          </w:tcPr>
          <w:p>
            <w:pPr>
              <w:jc w:val="center"/>
              <w:rPr>
                <w:sz w:val="20"/>
              </w:rPr>
            </w:pPr>
            <w:r>
              <w:rPr>
                <w:rFonts w:hint="eastAsia"/>
                <w:sz w:val="20"/>
              </w:rPr>
              <w:t>100</w:t>
            </w:r>
          </w:p>
        </w:tc>
        <w:tc>
          <w:tcPr>
            <w:tcW w:w="1134" w:type="dxa"/>
            <w:vAlign w:val="center"/>
          </w:tcPr>
          <w:p>
            <w:pPr>
              <w:jc w:val="center"/>
              <w:rPr>
                <w:sz w:val="20"/>
              </w:rPr>
            </w:pPr>
            <w:r>
              <w:rPr>
                <w:rFonts w:hint="eastAsia"/>
                <w:sz w:val="20"/>
              </w:rPr>
              <w:t>125</w:t>
            </w:r>
          </w:p>
        </w:tc>
        <w:tc>
          <w:tcPr>
            <w:tcW w:w="1700" w:type="dxa"/>
            <w:vAlign w:val="center"/>
          </w:tcPr>
          <w:p>
            <w:pPr>
              <w:jc w:val="center"/>
              <w:rPr>
                <w:sz w:val="20"/>
              </w:rPr>
            </w:pPr>
          </w:p>
        </w:tc>
        <w:tc>
          <w:tcPr>
            <w:tcW w:w="1560" w:type="dxa"/>
            <w:vAlign w:val="center"/>
          </w:tcPr>
          <w:p>
            <w:pPr>
              <w:jc w:val="center"/>
              <w:rPr>
                <w:sz w:val="20"/>
              </w:rPr>
            </w:pPr>
            <w:r>
              <w:rPr>
                <w:rFonts w:hint="eastAsia"/>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Align w:val="center"/>
          </w:tcPr>
          <w:p>
            <w:pPr>
              <w:jc w:val="center"/>
              <w:rPr>
                <w:sz w:val="20"/>
              </w:rPr>
            </w:pPr>
            <w:r>
              <w:rPr>
                <w:rFonts w:hint="eastAsia"/>
                <w:sz w:val="20"/>
              </w:rPr>
              <w:t>2</w:t>
            </w:r>
          </w:p>
        </w:tc>
        <w:tc>
          <w:tcPr>
            <w:tcW w:w="2127" w:type="dxa"/>
            <w:vAlign w:val="center"/>
          </w:tcPr>
          <w:p>
            <w:pPr>
              <w:jc w:val="center"/>
              <w:rPr>
                <w:sz w:val="20"/>
                <w:szCs w:val="21"/>
              </w:rPr>
            </w:pPr>
            <w:r>
              <w:t>BOARDROOM CHAIR</w:t>
            </w:r>
            <w:r>
              <w:rPr>
                <w:rFonts w:hint="eastAsia"/>
              </w:rPr>
              <w:t xml:space="preserve">          董事室椅子</w:t>
            </w:r>
          </w:p>
        </w:tc>
        <w:tc>
          <w:tcPr>
            <w:tcW w:w="1275" w:type="dxa"/>
          </w:tcPr>
          <w:p>
            <w:pPr>
              <w:jc w:val="center"/>
              <w:rPr>
                <w:sz w:val="20"/>
                <w:shd w:val="clear" w:color="auto" w:fill="FFFFFF"/>
              </w:rPr>
            </w:pPr>
            <w:r>
              <w:rPr>
                <w:rFonts w:hint="eastAsia"/>
                <w:sz w:val="20"/>
                <w:shd w:val="clear" w:color="auto" w:fill="FFFFFF"/>
              </w:rPr>
              <w:t>Each</w:t>
            </w:r>
            <w:r>
              <w:rPr>
                <w:sz w:val="20"/>
                <w:shd w:val="clear" w:color="auto" w:fill="FFFFFF"/>
              </w:rPr>
              <w:br w:type="textWrapping"/>
            </w:r>
            <w:r>
              <w:rPr>
                <w:rFonts w:hint="eastAsia"/>
                <w:sz w:val="20"/>
                <w:shd w:val="clear" w:color="auto" w:fill="FFFFFF"/>
              </w:rPr>
              <w:t>一个</w:t>
            </w:r>
          </w:p>
        </w:tc>
        <w:tc>
          <w:tcPr>
            <w:tcW w:w="993" w:type="dxa"/>
            <w:vAlign w:val="center"/>
          </w:tcPr>
          <w:p>
            <w:pPr>
              <w:jc w:val="center"/>
              <w:rPr>
                <w:sz w:val="20"/>
                <w:shd w:val="clear" w:color="auto" w:fill="FFFFFF"/>
              </w:rPr>
            </w:pPr>
            <w:r>
              <w:rPr>
                <w:rFonts w:hint="eastAsia"/>
                <w:sz w:val="20"/>
                <w:shd w:val="clear" w:color="auto" w:fill="FFFFFF"/>
              </w:rPr>
              <w:t>50</w:t>
            </w:r>
          </w:p>
        </w:tc>
        <w:tc>
          <w:tcPr>
            <w:tcW w:w="992" w:type="dxa"/>
            <w:vAlign w:val="center"/>
          </w:tcPr>
          <w:p>
            <w:pPr>
              <w:jc w:val="center"/>
              <w:rPr>
                <w:sz w:val="20"/>
              </w:rPr>
            </w:pPr>
            <w:r>
              <w:rPr>
                <w:rFonts w:hint="eastAsia"/>
                <w:sz w:val="20"/>
              </w:rPr>
              <w:t>70</w:t>
            </w:r>
          </w:p>
        </w:tc>
        <w:tc>
          <w:tcPr>
            <w:tcW w:w="1134" w:type="dxa"/>
            <w:vAlign w:val="center"/>
          </w:tcPr>
          <w:p>
            <w:pPr>
              <w:jc w:val="center"/>
              <w:rPr>
                <w:sz w:val="20"/>
              </w:rPr>
            </w:pPr>
            <w:r>
              <w:rPr>
                <w:rFonts w:hint="eastAsia"/>
                <w:sz w:val="20"/>
              </w:rPr>
              <w:t>70</w:t>
            </w:r>
          </w:p>
        </w:tc>
        <w:tc>
          <w:tcPr>
            <w:tcW w:w="1700" w:type="dxa"/>
            <w:vAlign w:val="center"/>
          </w:tcPr>
          <w:p>
            <w:pPr>
              <w:jc w:val="center"/>
              <w:rPr>
                <w:sz w:val="20"/>
              </w:rPr>
            </w:pPr>
          </w:p>
        </w:tc>
        <w:tc>
          <w:tcPr>
            <w:tcW w:w="1560"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Align w:val="center"/>
          </w:tcPr>
          <w:p>
            <w:pPr>
              <w:jc w:val="center"/>
              <w:rPr>
                <w:sz w:val="20"/>
              </w:rPr>
            </w:pPr>
            <w:r>
              <w:rPr>
                <w:rFonts w:hint="eastAsia"/>
                <w:sz w:val="20"/>
              </w:rPr>
              <w:t>3</w:t>
            </w:r>
          </w:p>
        </w:tc>
        <w:tc>
          <w:tcPr>
            <w:tcW w:w="2127" w:type="dxa"/>
            <w:vAlign w:val="center"/>
          </w:tcPr>
          <w:p>
            <w:pPr>
              <w:jc w:val="center"/>
              <w:rPr>
                <w:sz w:val="20"/>
                <w:szCs w:val="21"/>
              </w:rPr>
            </w:pPr>
            <w:r>
              <w:t>GUEST SIDE CHAIRS</w:t>
            </w:r>
            <w:r>
              <w:rPr>
                <w:rFonts w:hint="eastAsia"/>
              </w:rPr>
              <w:br w:type="textWrapping"/>
            </w:r>
            <w:r>
              <w:rPr>
                <w:sz w:val="20"/>
                <w:szCs w:val="21"/>
              </w:rPr>
              <w:t>扶手椅</w:t>
            </w:r>
          </w:p>
        </w:tc>
        <w:tc>
          <w:tcPr>
            <w:tcW w:w="1275" w:type="dxa"/>
          </w:tcPr>
          <w:p>
            <w:pPr>
              <w:jc w:val="center"/>
              <w:rPr>
                <w:sz w:val="20"/>
                <w:shd w:val="clear" w:color="auto" w:fill="FFFFFF"/>
              </w:rPr>
            </w:pPr>
            <w:r>
              <w:rPr>
                <w:rFonts w:hint="eastAsia"/>
              </w:rPr>
              <w:t>Each</w:t>
            </w:r>
            <w:r>
              <w:br w:type="textWrapping"/>
            </w:r>
            <w:r>
              <w:rPr>
                <w:rFonts w:hint="eastAsia"/>
              </w:rPr>
              <w:t>一个</w:t>
            </w:r>
          </w:p>
        </w:tc>
        <w:tc>
          <w:tcPr>
            <w:tcW w:w="993" w:type="dxa"/>
            <w:vAlign w:val="center"/>
          </w:tcPr>
          <w:p>
            <w:pPr>
              <w:jc w:val="center"/>
              <w:rPr>
                <w:sz w:val="20"/>
                <w:shd w:val="clear" w:color="auto" w:fill="FFFFFF"/>
              </w:rPr>
            </w:pPr>
            <w:r>
              <w:rPr>
                <w:rFonts w:hint="eastAsia"/>
                <w:sz w:val="20"/>
                <w:shd w:val="clear" w:color="auto" w:fill="FFFFFF"/>
              </w:rPr>
              <w:t>200</w:t>
            </w:r>
          </w:p>
        </w:tc>
        <w:tc>
          <w:tcPr>
            <w:tcW w:w="992" w:type="dxa"/>
            <w:vAlign w:val="center"/>
          </w:tcPr>
          <w:p>
            <w:pPr>
              <w:jc w:val="center"/>
              <w:rPr>
                <w:sz w:val="20"/>
              </w:rPr>
            </w:pPr>
            <w:r>
              <w:rPr>
                <w:rFonts w:hint="eastAsia"/>
                <w:sz w:val="20"/>
              </w:rPr>
              <w:t>150</w:t>
            </w:r>
          </w:p>
        </w:tc>
        <w:tc>
          <w:tcPr>
            <w:tcW w:w="1134" w:type="dxa"/>
            <w:vAlign w:val="center"/>
          </w:tcPr>
          <w:p>
            <w:pPr>
              <w:jc w:val="center"/>
              <w:rPr>
                <w:sz w:val="20"/>
              </w:rPr>
            </w:pPr>
            <w:r>
              <w:rPr>
                <w:rFonts w:hint="eastAsia"/>
                <w:sz w:val="20"/>
              </w:rPr>
              <w:t>200</w:t>
            </w:r>
          </w:p>
        </w:tc>
        <w:tc>
          <w:tcPr>
            <w:tcW w:w="1700" w:type="dxa"/>
            <w:vAlign w:val="center"/>
          </w:tcPr>
          <w:p>
            <w:pPr>
              <w:jc w:val="center"/>
              <w:rPr>
                <w:sz w:val="20"/>
              </w:rPr>
            </w:pPr>
          </w:p>
        </w:tc>
        <w:tc>
          <w:tcPr>
            <w:tcW w:w="1560"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Align w:val="center"/>
          </w:tcPr>
          <w:p>
            <w:pPr>
              <w:jc w:val="center"/>
              <w:rPr>
                <w:sz w:val="20"/>
              </w:rPr>
            </w:pPr>
            <w:r>
              <w:rPr>
                <w:rFonts w:hint="eastAsia"/>
                <w:sz w:val="20"/>
              </w:rPr>
              <w:t>4.1</w:t>
            </w:r>
          </w:p>
        </w:tc>
        <w:tc>
          <w:tcPr>
            <w:tcW w:w="2127" w:type="dxa"/>
            <w:vAlign w:val="center"/>
          </w:tcPr>
          <w:p>
            <w:pPr>
              <w:jc w:val="center"/>
            </w:pPr>
            <w:r>
              <w:t>CAFÉ CHAIR</w:t>
            </w:r>
            <w:r>
              <w:rPr>
                <w:rFonts w:hint="eastAsia"/>
              </w:rPr>
              <w:t>-Table Height</w:t>
            </w:r>
            <w:r>
              <w:rPr>
                <w:rFonts w:hint="eastAsia"/>
              </w:rPr>
              <w:br w:type="textWrapping"/>
            </w:r>
            <w:r>
              <w:rPr>
                <w:rFonts w:hint="eastAsia"/>
              </w:rPr>
              <w:t>咖啡吧椅子（桌子高度）</w:t>
            </w:r>
          </w:p>
        </w:tc>
        <w:tc>
          <w:tcPr>
            <w:tcW w:w="1275" w:type="dxa"/>
          </w:tcPr>
          <w:p>
            <w:pPr>
              <w:jc w:val="center"/>
            </w:pPr>
            <w:r>
              <w:rPr>
                <w:rFonts w:hint="eastAsia"/>
              </w:rPr>
              <w:t>Each</w:t>
            </w:r>
            <w:r>
              <w:br w:type="textWrapping"/>
            </w:r>
            <w:r>
              <w:t>一个</w:t>
            </w:r>
          </w:p>
        </w:tc>
        <w:tc>
          <w:tcPr>
            <w:tcW w:w="993" w:type="dxa"/>
            <w:vAlign w:val="center"/>
          </w:tcPr>
          <w:p>
            <w:pPr>
              <w:jc w:val="center"/>
              <w:rPr>
                <w:sz w:val="20"/>
                <w:shd w:val="clear" w:color="auto" w:fill="FFFFFF"/>
              </w:rPr>
            </w:pPr>
            <w:r>
              <w:rPr>
                <w:rFonts w:hint="eastAsia"/>
                <w:sz w:val="20"/>
                <w:shd w:val="clear" w:color="auto" w:fill="FFFFFF"/>
              </w:rPr>
              <w:t>75</w:t>
            </w:r>
          </w:p>
        </w:tc>
        <w:tc>
          <w:tcPr>
            <w:tcW w:w="992" w:type="dxa"/>
            <w:vAlign w:val="center"/>
          </w:tcPr>
          <w:p>
            <w:pPr>
              <w:jc w:val="center"/>
              <w:rPr>
                <w:sz w:val="20"/>
              </w:rPr>
            </w:pPr>
            <w:r>
              <w:rPr>
                <w:rFonts w:hint="eastAsia"/>
                <w:sz w:val="20"/>
              </w:rPr>
              <w:t>75</w:t>
            </w:r>
          </w:p>
        </w:tc>
        <w:tc>
          <w:tcPr>
            <w:tcW w:w="1134" w:type="dxa"/>
            <w:vAlign w:val="center"/>
          </w:tcPr>
          <w:p>
            <w:pPr>
              <w:jc w:val="center"/>
              <w:rPr>
                <w:sz w:val="20"/>
              </w:rPr>
            </w:pPr>
            <w:r>
              <w:rPr>
                <w:rFonts w:hint="eastAsia"/>
                <w:sz w:val="20"/>
              </w:rPr>
              <w:t>75</w:t>
            </w:r>
          </w:p>
        </w:tc>
        <w:tc>
          <w:tcPr>
            <w:tcW w:w="1700" w:type="dxa"/>
            <w:vAlign w:val="center"/>
          </w:tcPr>
          <w:p>
            <w:pPr>
              <w:jc w:val="center"/>
              <w:rPr>
                <w:sz w:val="20"/>
              </w:rPr>
            </w:pPr>
          </w:p>
        </w:tc>
        <w:tc>
          <w:tcPr>
            <w:tcW w:w="1560"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Align w:val="center"/>
          </w:tcPr>
          <w:p>
            <w:pPr>
              <w:jc w:val="center"/>
              <w:rPr>
                <w:sz w:val="20"/>
              </w:rPr>
            </w:pPr>
            <w:r>
              <w:rPr>
                <w:rFonts w:hint="eastAsia"/>
                <w:sz w:val="20"/>
              </w:rPr>
              <w:t>4.2</w:t>
            </w:r>
          </w:p>
        </w:tc>
        <w:tc>
          <w:tcPr>
            <w:tcW w:w="2127" w:type="dxa"/>
            <w:vAlign w:val="center"/>
          </w:tcPr>
          <w:p>
            <w:pPr>
              <w:jc w:val="center"/>
            </w:pPr>
            <w:r>
              <w:t xml:space="preserve">CAFÉ CHAIR </w:t>
            </w:r>
            <w:r>
              <w:rPr>
                <w:rFonts w:hint="eastAsia"/>
              </w:rPr>
              <w:t>-</w:t>
            </w:r>
            <w:r>
              <w:t>Counter Height</w:t>
            </w:r>
            <w:r>
              <w:rPr>
                <w:rFonts w:hint="eastAsia"/>
              </w:rPr>
              <w:br w:type="textWrapping"/>
            </w:r>
            <w:r>
              <w:rPr>
                <w:rFonts w:hint="eastAsia"/>
              </w:rPr>
              <w:t>咖啡吧椅子（柜子高度）</w:t>
            </w:r>
          </w:p>
        </w:tc>
        <w:tc>
          <w:tcPr>
            <w:tcW w:w="1275" w:type="dxa"/>
          </w:tcPr>
          <w:p>
            <w:pPr>
              <w:jc w:val="center"/>
            </w:pPr>
            <w:r>
              <w:rPr>
                <w:rFonts w:hint="eastAsia"/>
              </w:rPr>
              <w:t>Each</w:t>
            </w:r>
            <w:r>
              <w:br w:type="textWrapping"/>
            </w:r>
            <w:r>
              <w:t>一个</w:t>
            </w:r>
          </w:p>
        </w:tc>
        <w:tc>
          <w:tcPr>
            <w:tcW w:w="993" w:type="dxa"/>
            <w:vAlign w:val="center"/>
          </w:tcPr>
          <w:p>
            <w:pPr>
              <w:jc w:val="center"/>
              <w:rPr>
                <w:sz w:val="20"/>
                <w:shd w:val="clear" w:color="auto" w:fill="FFFFFF"/>
              </w:rPr>
            </w:pPr>
            <w:r>
              <w:rPr>
                <w:rFonts w:hint="eastAsia"/>
                <w:sz w:val="20"/>
                <w:shd w:val="clear" w:color="auto" w:fill="FFFFFF"/>
              </w:rPr>
              <w:t>25</w:t>
            </w:r>
          </w:p>
        </w:tc>
        <w:tc>
          <w:tcPr>
            <w:tcW w:w="992" w:type="dxa"/>
            <w:vAlign w:val="center"/>
          </w:tcPr>
          <w:p>
            <w:pPr>
              <w:jc w:val="center"/>
              <w:rPr>
                <w:sz w:val="20"/>
              </w:rPr>
            </w:pPr>
            <w:r>
              <w:rPr>
                <w:rFonts w:hint="eastAsia"/>
                <w:sz w:val="20"/>
              </w:rPr>
              <w:t>25</w:t>
            </w:r>
          </w:p>
        </w:tc>
        <w:tc>
          <w:tcPr>
            <w:tcW w:w="1134" w:type="dxa"/>
            <w:vAlign w:val="center"/>
          </w:tcPr>
          <w:p>
            <w:pPr>
              <w:jc w:val="center"/>
              <w:rPr>
                <w:sz w:val="20"/>
              </w:rPr>
            </w:pPr>
            <w:r>
              <w:rPr>
                <w:rFonts w:hint="eastAsia"/>
                <w:sz w:val="20"/>
              </w:rPr>
              <w:t>25</w:t>
            </w:r>
          </w:p>
        </w:tc>
        <w:tc>
          <w:tcPr>
            <w:tcW w:w="1700" w:type="dxa"/>
            <w:vAlign w:val="center"/>
          </w:tcPr>
          <w:p>
            <w:pPr>
              <w:jc w:val="center"/>
              <w:rPr>
                <w:sz w:val="20"/>
              </w:rPr>
            </w:pPr>
          </w:p>
        </w:tc>
        <w:tc>
          <w:tcPr>
            <w:tcW w:w="1560"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Align w:val="center"/>
          </w:tcPr>
          <w:p>
            <w:pPr>
              <w:jc w:val="center"/>
              <w:rPr>
                <w:sz w:val="20"/>
              </w:rPr>
            </w:pPr>
            <w:r>
              <w:rPr>
                <w:rFonts w:hint="eastAsia"/>
                <w:sz w:val="20"/>
              </w:rPr>
              <w:t>4.3</w:t>
            </w:r>
          </w:p>
        </w:tc>
        <w:tc>
          <w:tcPr>
            <w:tcW w:w="2127" w:type="dxa"/>
            <w:vAlign w:val="center"/>
          </w:tcPr>
          <w:p>
            <w:pPr>
              <w:jc w:val="center"/>
            </w:pPr>
            <w:r>
              <w:t>Café Chair</w:t>
            </w:r>
            <w:r>
              <w:rPr>
                <w:rFonts w:hint="eastAsia"/>
              </w:rPr>
              <w:t>-</w:t>
            </w:r>
            <w:r>
              <w:t>Bar Height</w:t>
            </w:r>
            <w:r>
              <w:rPr>
                <w:rFonts w:hint="eastAsia"/>
              </w:rPr>
              <w:br w:type="textWrapping"/>
            </w:r>
            <w:r>
              <w:rPr>
                <w:rFonts w:hint="eastAsia"/>
              </w:rPr>
              <w:t>咖啡吧椅子（吧台高度）</w:t>
            </w:r>
          </w:p>
        </w:tc>
        <w:tc>
          <w:tcPr>
            <w:tcW w:w="1275" w:type="dxa"/>
          </w:tcPr>
          <w:p>
            <w:pPr>
              <w:jc w:val="center"/>
            </w:pPr>
            <w:r>
              <w:rPr>
                <w:rFonts w:hint="eastAsia"/>
              </w:rPr>
              <w:t>Each</w:t>
            </w:r>
            <w:r>
              <w:br w:type="textWrapping"/>
            </w:r>
            <w:r>
              <w:t>一个</w:t>
            </w:r>
          </w:p>
        </w:tc>
        <w:tc>
          <w:tcPr>
            <w:tcW w:w="993" w:type="dxa"/>
            <w:vAlign w:val="center"/>
          </w:tcPr>
          <w:p>
            <w:pPr>
              <w:jc w:val="center"/>
              <w:rPr>
                <w:sz w:val="20"/>
                <w:shd w:val="clear" w:color="auto" w:fill="FFFFFF"/>
              </w:rPr>
            </w:pPr>
            <w:r>
              <w:rPr>
                <w:rFonts w:hint="eastAsia"/>
                <w:sz w:val="20"/>
                <w:shd w:val="clear" w:color="auto" w:fill="FFFFFF"/>
              </w:rPr>
              <w:t>25</w:t>
            </w:r>
          </w:p>
        </w:tc>
        <w:tc>
          <w:tcPr>
            <w:tcW w:w="992" w:type="dxa"/>
            <w:vAlign w:val="center"/>
          </w:tcPr>
          <w:p>
            <w:pPr>
              <w:jc w:val="center"/>
              <w:rPr>
                <w:sz w:val="20"/>
              </w:rPr>
            </w:pPr>
            <w:r>
              <w:rPr>
                <w:rFonts w:hint="eastAsia"/>
                <w:sz w:val="20"/>
              </w:rPr>
              <w:t>25</w:t>
            </w:r>
          </w:p>
        </w:tc>
        <w:tc>
          <w:tcPr>
            <w:tcW w:w="1134" w:type="dxa"/>
            <w:vAlign w:val="center"/>
          </w:tcPr>
          <w:p>
            <w:pPr>
              <w:jc w:val="center"/>
              <w:rPr>
                <w:sz w:val="20"/>
              </w:rPr>
            </w:pPr>
            <w:r>
              <w:rPr>
                <w:rFonts w:hint="eastAsia"/>
                <w:sz w:val="20"/>
              </w:rPr>
              <w:t>25</w:t>
            </w:r>
          </w:p>
        </w:tc>
        <w:tc>
          <w:tcPr>
            <w:tcW w:w="1700" w:type="dxa"/>
            <w:vAlign w:val="center"/>
          </w:tcPr>
          <w:p>
            <w:pPr>
              <w:jc w:val="center"/>
              <w:rPr>
                <w:sz w:val="20"/>
              </w:rPr>
            </w:pPr>
          </w:p>
        </w:tc>
        <w:tc>
          <w:tcPr>
            <w:tcW w:w="1560" w:type="dxa"/>
            <w:vAlign w:val="center"/>
          </w:tcPr>
          <w:p>
            <w:pPr>
              <w:jc w:val="center"/>
              <w:rPr>
                <w:sz w:val="20"/>
              </w:rPr>
            </w:pPr>
          </w:p>
        </w:tc>
      </w:tr>
    </w:tbl>
    <w:p>
      <w:pPr>
        <w:jc w:val="left"/>
        <w:rPr>
          <w:sz w:val="24"/>
          <w:u w:val="single"/>
        </w:rPr>
      </w:pPr>
    </w:p>
    <w:p>
      <w:pPr>
        <w:jc w:val="left"/>
        <w:rPr>
          <w:sz w:val="28"/>
          <w:szCs w:val="28"/>
          <w:shd w:val="clear" w:color="auto" w:fill="FFFFFF"/>
        </w:rPr>
      </w:pPr>
      <w:r>
        <w:rPr>
          <w:sz w:val="28"/>
          <w:szCs w:val="28"/>
          <w:shd w:val="clear" w:color="auto" w:fill="FFFFFF"/>
        </w:rPr>
        <w:t>Product description（英文</w:t>
      </w:r>
      <w:r>
        <w:rPr>
          <w:rFonts w:hint="eastAsia"/>
          <w:sz w:val="28"/>
          <w:szCs w:val="28"/>
          <w:shd w:val="clear" w:color="auto" w:fill="FFFFFF"/>
        </w:rPr>
        <w:t>+中文</w:t>
      </w:r>
      <w:r>
        <w:rPr>
          <w:sz w:val="28"/>
          <w:szCs w:val="28"/>
          <w:shd w:val="clear" w:color="auto" w:fill="FFFFFF"/>
        </w:rPr>
        <w:t>）：</w:t>
      </w:r>
    </w:p>
    <w:p>
      <w:pPr>
        <w:jc w:val="left"/>
      </w:pPr>
      <w:r>
        <w:rPr>
          <w:rFonts w:hint="eastAsia"/>
          <w:sz w:val="24"/>
        </w:rPr>
        <w:t xml:space="preserve">Item#1: </w:t>
      </w:r>
      <w:r>
        <w:t xml:space="preserve">MEETING CHAIR </w:t>
      </w:r>
    </w:p>
    <w:p>
      <w:pPr>
        <w:jc w:val="left"/>
      </w:pPr>
      <w:r>
        <w:rPr>
          <w:rFonts w:hint="eastAsia"/>
        </w:rPr>
        <w:t>•</w:t>
      </w:r>
      <w:r>
        <w:t xml:space="preserve">Must meet ANSI/BIFMA e3-2014e Furniture Sustainability Standard </w:t>
      </w:r>
    </w:p>
    <w:p>
      <w:pPr>
        <w:jc w:val="left"/>
      </w:pPr>
      <w:r>
        <w:t xml:space="preserve">• Must be GREENGUARD and/or SCS Indoor Advantage Certified </w:t>
      </w:r>
    </w:p>
    <w:p>
      <w:pPr>
        <w:jc w:val="left"/>
      </w:pPr>
      <w:r>
        <w:t xml:space="preserve">• Must be able to support up to 300lbs • Seat dimensions: 18”D x 20”W (+/-1”) </w:t>
      </w:r>
    </w:p>
    <w:p>
      <w:pPr>
        <w:jc w:val="left"/>
      </w:pPr>
      <w:r>
        <w:t xml:space="preserve">• Back height from seat within 17” – 22” </w:t>
      </w:r>
    </w:p>
    <w:p>
      <w:pPr>
        <w:jc w:val="left"/>
      </w:pPr>
      <w:r>
        <w:t xml:space="preserve">• Height adjustable range within 15”-22” </w:t>
      </w:r>
    </w:p>
    <w:p>
      <w:pPr>
        <w:jc w:val="left"/>
      </w:pPr>
      <w:r>
        <w:t xml:space="preserve">• Preference to chairs with adjustable arms </w:t>
      </w:r>
    </w:p>
    <w:p>
      <w:pPr>
        <w:jc w:val="left"/>
      </w:pPr>
      <w:r>
        <w:t xml:space="preserve">• Must include a mesh back with multiple color options </w:t>
      </w:r>
    </w:p>
    <w:p>
      <w:pPr>
        <w:jc w:val="left"/>
      </w:pPr>
      <w:r>
        <w:t xml:space="preserve">• Upholstery must meet an abrasion rating of 100 000 double rubs (minimum) </w:t>
      </w:r>
    </w:p>
    <w:p>
      <w:pPr>
        <w:jc w:val="left"/>
      </w:pPr>
      <w:r>
        <w:t xml:space="preserve">• Upholstery must be stain resistant, and preference to upholstery that is easily cleanable </w:t>
      </w:r>
    </w:p>
    <w:p>
      <w:pPr>
        <w:jc w:val="left"/>
      </w:pPr>
      <w:r>
        <w:t xml:space="preserve">• Must have fabric and vinyl upholstery options in a variety of colors for the seat </w:t>
      </w:r>
    </w:p>
    <w:p>
      <w:pPr>
        <w:jc w:val="left"/>
      </w:pPr>
      <w:r>
        <w:t xml:space="preserve">• Front of seat must have a waterfall edge • Must include a 5 (five) Caster base </w:t>
      </w:r>
    </w:p>
    <w:p>
      <w:pPr>
        <w:jc w:val="left"/>
      </w:pPr>
      <w:r>
        <w:t>• Must be available with caster options suitable for both hard surface (LVT) and carpet flooring types, at no additional cost</w:t>
      </w:r>
    </w:p>
    <w:p>
      <w:pPr>
        <w:pStyle w:val="13"/>
        <w:numPr>
          <w:ilvl w:val="0"/>
          <w:numId w:val="1"/>
        </w:numPr>
        <w:ind w:firstLineChars="0"/>
        <w:jc w:val="left"/>
        <w:rPr>
          <w:szCs w:val="21"/>
        </w:rPr>
      </w:pPr>
      <w:r>
        <w:rPr>
          <w:rFonts w:hint="eastAsia"/>
          <w:szCs w:val="21"/>
        </w:rPr>
        <w:t xml:space="preserve">必须符合 ANSI/BIFMA e3-2014e 家具可持续性标准 </w:t>
      </w:r>
    </w:p>
    <w:p>
      <w:pPr>
        <w:pStyle w:val="13"/>
        <w:numPr>
          <w:ilvl w:val="0"/>
          <w:numId w:val="1"/>
        </w:numPr>
        <w:ind w:firstLineChars="0"/>
        <w:jc w:val="left"/>
        <w:rPr>
          <w:szCs w:val="21"/>
        </w:rPr>
      </w:pPr>
      <w:r>
        <w:rPr>
          <w:rFonts w:hint="eastAsia"/>
          <w:szCs w:val="21"/>
        </w:rPr>
        <w:t xml:space="preserve">必须经过GREENGUARD和/或 SCS 室内优势认证 </w:t>
      </w:r>
    </w:p>
    <w:p>
      <w:pPr>
        <w:pStyle w:val="13"/>
        <w:numPr>
          <w:ilvl w:val="0"/>
          <w:numId w:val="1"/>
        </w:numPr>
        <w:ind w:firstLineChars="0"/>
        <w:jc w:val="left"/>
        <w:rPr>
          <w:szCs w:val="21"/>
        </w:rPr>
      </w:pPr>
      <w:r>
        <w:rPr>
          <w:rFonts w:hint="eastAsia"/>
          <w:szCs w:val="21"/>
        </w:rPr>
        <w:t>必须能够支持高达300磅的重量</w:t>
      </w:r>
    </w:p>
    <w:p>
      <w:pPr>
        <w:pStyle w:val="13"/>
        <w:numPr>
          <w:ilvl w:val="0"/>
          <w:numId w:val="1"/>
        </w:numPr>
        <w:ind w:firstLineChars="0"/>
        <w:jc w:val="left"/>
        <w:rPr>
          <w:szCs w:val="21"/>
        </w:rPr>
      </w:pPr>
      <w:r>
        <w:rPr>
          <w:rFonts w:hint="eastAsia"/>
          <w:szCs w:val="21"/>
        </w:rPr>
        <w:t xml:space="preserve">座椅尺寸：18"D x 20"W （* /-1"） </w:t>
      </w:r>
    </w:p>
    <w:p>
      <w:pPr>
        <w:pStyle w:val="13"/>
        <w:numPr>
          <w:ilvl w:val="0"/>
          <w:numId w:val="1"/>
        </w:numPr>
        <w:ind w:firstLineChars="0"/>
        <w:jc w:val="left"/>
        <w:rPr>
          <w:szCs w:val="21"/>
        </w:rPr>
      </w:pPr>
      <w:r>
        <w:rPr>
          <w:rFonts w:hint="eastAsia"/>
          <w:szCs w:val="21"/>
        </w:rPr>
        <w:t>座椅靠背高度在 17" - 22"范围内</w:t>
      </w:r>
    </w:p>
    <w:p>
      <w:pPr>
        <w:pStyle w:val="13"/>
        <w:numPr>
          <w:ilvl w:val="0"/>
          <w:numId w:val="2"/>
        </w:numPr>
        <w:ind w:firstLineChars="0"/>
        <w:jc w:val="left"/>
        <w:rPr>
          <w:szCs w:val="21"/>
        </w:rPr>
      </w:pPr>
      <w:r>
        <w:rPr>
          <w:rFonts w:hint="eastAsia"/>
          <w:szCs w:val="21"/>
        </w:rPr>
        <w:t xml:space="preserve">整体高度在 15"-22" 范围内 </w:t>
      </w:r>
    </w:p>
    <w:p>
      <w:pPr>
        <w:pStyle w:val="13"/>
        <w:numPr>
          <w:ilvl w:val="0"/>
          <w:numId w:val="2"/>
        </w:numPr>
        <w:ind w:firstLineChars="0"/>
        <w:jc w:val="left"/>
        <w:rPr>
          <w:szCs w:val="21"/>
        </w:rPr>
      </w:pPr>
      <w:r>
        <w:rPr>
          <w:rFonts w:hint="eastAsia"/>
          <w:szCs w:val="21"/>
        </w:rPr>
        <w:t>偏爱具有可调节臂的椅子</w:t>
      </w:r>
    </w:p>
    <w:p>
      <w:pPr>
        <w:pStyle w:val="13"/>
        <w:numPr>
          <w:ilvl w:val="0"/>
          <w:numId w:val="2"/>
        </w:numPr>
        <w:ind w:firstLineChars="0"/>
        <w:jc w:val="left"/>
        <w:rPr>
          <w:szCs w:val="21"/>
        </w:rPr>
      </w:pPr>
      <w:r>
        <w:rPr>
          <w:rFonts w:hint="eastAsia"/>
          <w:szCs w:val="21"/>
        </w:rPr>
        <w:t>必须包括具有多种颜色选项的网状背</w:t>
      </w:r>
    </w:p>
    <w:p>
      <w:pPr>
        <w:pStyle w:val="13"/>
        <w:numPr>
          <w:ilvl w:val="0"/>
          <w:numId w:val="2"/>
        </w:numPr>
        <w:ind w:firstLineChars="0"/>
        <w:jc w:val="left"/>
        <w:rPr>
          <w:szCs w:val="21"/>
        </w:rPr>
      </w:pPr>
      <w:r>
        <w:rPr>
          <w:rFonts w:hint="eastAsia"/>
          <w:szCs w:val="21"/>
        </w:rPr>
        <w:t xml:space="preserve">垫衬物必须达到 100 000双擦系数（最小） 的耐磨等级 </w:t>
      </w:r>
    </w:p>
    <w:p>
      <w:pPr>
        <w:pStyle w:val="13"/>
        <w:numPr>
          <w:ilvl w:val="0"/>
          <w:numId w:val="2"/>
        </w:numPr>
        <w:ind w:firstLineChars="0"/>
        <w:jc w:val="left"/>
        <w:rPr>
          <w:szCs w:val="21"/>
        </w:rPr>
      </w:pPr>
      <w:r>
        <w:rPr>
          <w:rFonts w:hint="eastAsia"/>
          <w:szCs w:val="21"/>
        </w:rPr>
        <w:t xml:space="preserve">垫衬物必须防污，并偏向于易于清洁的垫衬物 </w:t>
      </w:r>
    </w:p>
    <w:p>
      <w:pPr>
        <w:pStyle w:val="13"/>
        <w:numPr>
          <w:ilvl w:val="0"/>
          <w:numId w:val="2"/>
        </w:numPr>
        <w:ind w:firstLineChars="0"/>
        <w:jc w:val="left"/>
        <w:rPr>
          <w:szCs w:val="21"/>
        </w:rPr>
      </w:pPr>
      <w:r>
        <w:rPr>
          <w:rFonts w:hint="eastAsia"/>
          <w:szCs w:val="21"/>
        </w:rPr>
        <w:t xml:space="preserve">座椅必须具有各种颜色的织物和乙烯基类垫衬物选项 </w:t>
      </w:r>
    </w:p>
    <w:p>
      <w:pPr>
        <w:pStyle w:val="13"/>
        <w:numPr>
          <w:ilvl w:val="0"/>
          <w:numId w:val="2"/>
        </w:numPr>
        <w:ind w:firstLineChars="0"/>
        <w:jc w:val="left"/>
        <w:rPr>
          <w:szCs w:val="21"/>
        </w:rPr>
      </w:pPr>
      <w:r>
        <w:rPr>
          <w:rFonts w:hint="eastAsia"/>
          <w:szCs w:val="21"/>
        </w:rPr>
        <w:t xml:space="preserve">座椅前部必须具有瀑布样式加工边 </w:t>
      </w:r>
    </w:p>
    <w:p>
      <w:pPr>
        <w:pStyle w:val="13"/>
        <w:numPr>
          <w:ilvl w:val="0"/>
          <w:numId w:val="2"/>
        </w:numPr>
        <w:ind w:firstLineChars="0"/>
        <w:jc w:val="left"/>
        <w:rPr>
          <w:szCs w:val="21"/>
        </w:rPr>
      </w:pPr>
      <w:r>
        <w:rPr>
          <w:rFonts w:hint="eastAsia"/>
          <w:szCs w:val="21"/>
        </w:rPr>
        <w:t xml:space="preserve">必须包括 5脚轮底座 </w:t>
      </w:r>
    </w:p>
    <w:p>
      <w:pPr>
        <w:pStyle w:val="13"/>
        <w:numPr>
          <w:ilvl w:val="0"/>
          <w:numId w:val="2"/>
        </w:numPr>
        <w:ind w:firstLineChars="0"/>
        <w:jc w:val="left"/>
        <w:rPr>
          <w:szCs w:val="21"/>
        </w:rPr>
      </w:pPr>
      <w:r>
        <w:rPr>
          <w:rFonts w:hint="eastAsia"/>
          <w:szCs w:val="21"/>
        </w:rPr>
        <w:t>必须提供适用于硬表面（LVT）和地毯类型地面的脚轮选项，无需额外费用</w:t>
      </w:r>
    </w:p>
    <w:p>
      <w:pPr>
        <w:pStyle w:val="13"/>
        <w:ind w:left="0" w:leftChars="0" w:firstLine="0" w:firstLineChars="0"/>
        <w:jc w:val="left"/>
        <w:rPr>
          <w:rFonts w:hint="default" w:eastAsia="宋体"/>
          <w:szCs w:val="21"/>
          <w:lang w:val="en-US" w:eastAsia="zh-CN"/>
        </w:rPr>
      </w:pPr>
      <w:r>
        <w:rPr>
          <w:rFonts w:hint="eastAsia"/>
          <w:szCs w:val="21"/>
          <w:lang w:val="en-US" w:eastAsia="zh-CN"/>
        </w:rPr>
        <w:t xml:space="preserve">    数量：125个</w:t>
      </w:r>
    </w:p>
    <w:p>
      <w:pPr>
        <w:rPr>
          <w:sz w:val="24"/>
        </w:rPr>
      </w:pPr>
      <w:r>
        <w:rPr>
          <w:rFonts w:hint="eastAsia"/>
          <w:sz w:val="24"/>
        </w:rPr>
        <w:t>Item#2: Boardroom Chair</w:t>
      </w:r>
    </w:p>
    <w:p>
      <w:r>
        <w:t>• Must meet ANSI/BIFMA e3-2014e Furniture Sustainability Standard • Must be GREENGUARD and/or SCS Indoor Advantage Certified • Must be able to support up to 300lbs • Seat dimensions: 19”D x 19”W (+/-1”) • Back height from seat: Ranges 20” – 24” • Height adjustable range within 15” – 22” • Upholstery must meet an abrasion rating of 100 000 double rubs (minimum) • Upholstery must be stain resistant, and preference to upholstery that is easily cleanable • Must have fabric and vinyl upholstery options in a variety of colors for both back and seat • Arm style to be fixed style , all arm color options to be included in bid price • Base style to be 5 (five) caster base, all base color options to be included in bid price • Must be available with casters options suitable for both hard surface (LVT) and carpet flooring types, at no additional cost</w:t>
      </w:r>
    </w:p>
    <w:p>
      <w:pPr>
        <w:jc w:val="left"/>
        <w:rPr>
          <w:szCs w:val="21"/>
        </w:rPr>
      </w:pPr>
      <w:r>
        <w:rPr>
          <w:rFonts w:hint="eastAsia"/>
          <w:szCs w:val="21"/>
        </w:rPr>
        <w:t xml:space="preserve">• 必须符合 ANSI/BIFMA e3-2014e 家具可持续性标准 </w:t>
      </w:r>
    </w:p>
    <w:p>
      <w:pPr>
        <w:jc w:val="left"/>
        <w:rPr>
          <w:szCs w:val="21"/>
        </w:rPr>
      </w:pPr>
      <w:r>
        <w:rPr>
          <w:rFonts w:hint="eastAsia"/>
          <w:szCs w:val="21"/>
        </w:rPr>
        <w:t xml:space="preserve">• 必须获得 GREENGUARD 和/或 SCS 室内优势认证 </w:t>
      </w:r>
    </w:p>
    <w:p>
      <w:pPr>
        <w:jc w:val="left"/>
        <w:rPr>
          <w:szCs w:val="21"/>
        </w:rPr>
      </w:pPr>
      <w:r>
        <w:rPr>
          <w:rFonts w:hint="eastAsia"/>
          <w:szCs w:val="21"/>
        </w:rPr>
        <w:t xml:space="preserve">• 必须能够支撑高达 300 磅的重量 </w:t>
      </w:r>
    </w:p>
    <w:p>
      <w:pPr>
        <w:jc w:val="left"/>
        <w:rPr>
          <w:szCs w:val="21"/>
        </w:rPr>
      </w:pPr>
      <w:r>
        <w:rPr>
          <w:rFonts w:hint="eastAsia"/>
          <w:szCs w:val="21"/>
        </w:rPr>
        <w:t xml:space="preserve">• 座椅尺寸：19"D x 19"W （+/-1"） </w:t>
      </w:r>
    </w:p>
    <w:p>
      <w:pPr>
        <w:jc w:val="left"/>
        <w:rPr>
          <w:szCs w:val="21"/>
        </w:rPr>
      </w:pPr>
      <w:r>
        <w:rPr>
          <w:rFonts w:hint="eastAsia"/>
          <w:szCs w:val="21"/>
        </w:rPr>
        <w:t xml:space="preserve">• 座椅后背高度范围：20"-24" </w:t>
      </w:r>
    </w:p>
    <w:p>
      <w:pPr>
        <w:jc w:val="left"/>
        <w:rPr>
          <w:szCs w:val="21"/>
        </w:rPr>
      </w:pPr>
      <w:r>
        <w:rPr>
          <w:rFonts w:hint="eastAsia"/>
          <w:szCs w:val="21"/>
        </w:rPr>
        <w:t xml:space="preserve">• 椅子高度可调范围在 15" - 22" </w:t>
      </w:r>
    </w:p>
    <w:p>
      <w:pPr>
        <w:jc w:val="left"/>
        <w:rPr>
          <w:szCs w:val="21"/>
        </w:rPr>
      </w:pPr>
      <w:r>
        <w:rPr>
          <w:rFonts w:hint="eastAsia"/>
          <w:szCs w:val="21"/>
        </w:rPr>
        <w:t xml:space="preserve">• 垫衬物必须符合 100 000 双擦系数 （最小） 的磨损等级 </w:t>
      </w:r>
    </w:p>
    <w:p>
      <w:pPr>
        <w:jc w:val="left"/>
        <w:rPr>
          <w:szCs w:val="21"/>
        </w:rPr>
      </w:pPr>
      <w:r>
        <w:rPr>
          <w:rFonts w:hint="eastAsia"/>
          <w:szCs w:val="21"/>
        </w:rPr>
        <w:t xml:space="preserve">• 垫衬物必须具有防污性，偏向于易于清洁的垫衬物 </w:t>
      </w:r>
    </w:p>
    <w:p>
      <w:pPr>
        <w:jc w:val="left"/>
        <w:rPr>
          <w:szCs w:val="21"/>
        </w:rPr>
      </w:pPr>
      <w:r>
        <w:rPr>
          <w:rFonts w:hint="eastAsia"/>
          <w:szCs w:val="21"/>
        </w:rPr>
        <w:t xml:space="preserve">• 必须有织物和乙烯基的垫衬物选项，并提供多种颜色的后背和座椅 </w:t>
      </w:r>
    </w:p>
    <w:p>
      <w:pPr>
        <w:jc w:val="left"/>
        <w:rPr>
          <w:szCs w:val="21"/>
        </w:rPr>
      </w:pPr>
      <w:r>
        <w:rPr>
          <w:rFonts w:hint="eastAsia"/>
          <w:szCs w:val="21"/>
        </w:rPr>
        <w:t xml:space="preserve">• 手臂是固定样式的，所有手臂颜色选项要包括在投标价格中 </w:t>
      </w:r>
    </w:p>
    <w:p>
      <w:pPr>
        <w:jc w:val="left"/>
        <w:rPr>
          <w:szCs w:val="21"/>
        </w:rPr>
      </w:pPr>
      <w:r>
        <w:rPr>
          <w:rFonts w:hint="eastAsia"/>
          <w:szCs w:val="21"/>
        </w:rPr>
        <w:t>• 基本风格为5脚轮底座，所有基本颜色选项都包含在投标价中</w:t>
      </w:r>
    </w:p>
    <w:p>
      <w:pPr>
        <w:jc w:val="left"/>
        <w:rPr>
          <w:szCs w:val="21"/>
        </w:rPr>
      </w:pPr>
      <w:r>
        <w:t>•</w:t>
      </w:r>
      <w:r>
        <w:rPr>
          <w:rFonts w:hint="eastAsia"/>
        </w:rPr>
        <w:t xml:space="preserve"> </w:t>
      </w:r>
      <w:r>
        <w:rPr>
          <w:rFonts w:hint="eastAsia"/>
          <w:szCs w:val="21"/>
        </w:rPr>
        <w:t>必须提供适用于硬表面（LVT）和地毯类型地面的脚轮选项，无需额外费用</w:t>
      </w:r>
    </w:p>
    <w:p>
      <w:pPr>
        <w:jc w:val="left"/>
        <w:rPr>
          <w:rFonts w:hint="default" w:eastAsia="宋体"/>
          <w:sz w:val="24"/>
          <w:lang w:val="en-US" w:eastAsia="zh-CN"/>
        </w:rPr>
      </w:pPr>
      <w:r>
        <w:rPr>
          <w:rFonts w:hint="eastAsia"/>
          <w:sz w:val="24"/>
          <w:lang w:val="en-US" w:eastAsia="zh-CN"/>
        </w:rPr>
        <w:t xml:space="preserve">  数量：50个</w:t>
      </w:r>
    </w:p>
    <w:p>
      <w:r>
        <w:rPr>
          <w:rFonts w:hint="eastAsia"/>
          <w:sz w:val="24"/>
        </w:rPr>
        <w:t xml:space="preserve">Item#3: </w:t>
      </w:r>
      <w:r>
        <w:t xml:space="preserve">GUEST SIDE CHAIRS </w:t>
      </w:r>
    </w:p>
    <w:p>
      <w:pPr>
        <w:jc w:val="left"/>
      </w:pPr>
      <w:r>
        <w:t xml:space="preserve">• Must meet ANSI/BIFMA e3-2014e Furniture Sustainability Standard </w:t>
      </w:r>
    </w:p>
    <w:p>
      <w:pPr>
        <w:jc w:val="left"/>
      </w:pPr>
      <w:r>
        <w:t xml:space="preserve">• Must be GREENGUARD and/or SCS Indoor Advantage Certified </w:t>
      </w:r>
    </w:p>
    <w:p>
      <w:pPr>
        <w:jc w:val="left"/>
      </w:pPr>
      <w:r>
        <w:t xml:space="preserve">• Must be able to support up to 300lbs </w:t>
      </w:r>
    </w:p>
    <w:p>
      <w:pPr>
        <w:jc w:val="left"/>
      </w:pPr>
      <w:r>
        <w:t xml:space="preserve">• Must include flip-up nesting seat with 4 leg base </w:t>
      </w:r>
    </w:p>
    <w:p>
      <w:pPr>
        <w:jc w:val="left"/>
      </w:pPr>
      <w:r>
        <w:t xml:space="preserve">• Must include a mesh back with multiple color options </w:t>
      </w:r>
    </w:p>
    <w:p>
      <w:pPr>
        <w:jc w:val="left"/>
      </w:pPr>
      <w:r>
        <w:t xml:space="preserve">• Seat dimensions: 18”D x 18”W (+/-1”) </w:t>
      </w:r>
    </w:p>
    <w:p>
      <w:pPr>
        <w:jc w:val="left"/>
      </w:pPr>
      <w:r>
        <w:t xml:space="preserve">• Back height from seat: Ranges 16” – 19” </w:t>
      </w:r>
    </w:p>
    <w:p>
      <w:pPr>
        <w:jc w:val="left"/>
      </w:pPr>
      <w:r>
        <w:t xml:space="preserve">• Available with fixed/attached arms </w:t>
      </w:r>
    </w:p>
    <w:p>
      <w:pPr>
        <w:jc w:val="left"/>
      </w:pPr>
      <w:r>
        <w:t xml:space="preserve">• Upholstery must meet an abrasion rating of 100 000 double rubs (minimum) </w:t>
      </w:r>
    </w:p>
    <w:p>
      <w:pPr>
        <w:jc w:val="left"/>
      </w:pPr>
      <w:r>
        <w:t xml:space="preserve">• Upholstery must be stain resistant, and preference to upholstery that is easily cleanable </w:t>
      </w:r>
    </w:p>
    <w:p>
      <w:pPr>
        <w:jc w:val="left"/>
      </w:pPr>
      <w:r>
        <w:t xml:space="preserve">• Must have fabric and vinyl upholstery options in a variety of colors for the seat </w:t>
      </w:r>
    </w:p>
    <w:p>
      <w:pPr>
        <w:jc w:val="left"/>
      </w:pPr>
      <w:r>
        <w:t>• Preference to upholstery selection that match options available for item 1.0 Meeting Room Chair</w:t>
      </w:r>
      <w:r>
        <w:rPr>
          <w:rFonts w:hint="eastAsia"/>
        </w:rPr>
        <w:t xml:space="preserve"> </w:t>
      </w:r>
    </w:p>
    <w:p>
      <w:pPr>
        <w:jc w:val="left"/>
      </w:pPr>
      <w:r>
        <w:t>• Must be available with glides or caster options that are suitable for both hard surface (LVT) and carpet flooring types at no additional cost</w:t>
      </w:r>
    </w:p>
    <w:p>
      <w:pPr>
        <w:jc w:val="left"/>
      </w:pPr>
    </w:p>
    <w:p>
      <w:pPr>
        <w:jc w:val="left"/>
        <w:rPr>
          <w:szCs w:val="21"/>
        </w:rPr>
      </w:pPr>
      <w:r>
        <w:rPr>
          <w:rFonts w:hint="eastAsia"/>
          <w:szCs w:val="21"/>
        </w:rPr>
        <w:t xml:space="preserve">• 必须符合 ANSI/BIFMA e3-2014e 家具可持续性标准 </w:t>
      </w:r>
    </w:p>
    <w:p>
      <w:pPr>
        <w:jc w:val="left"/>
        <w:rPr>
          <w:szCs w:val="21"/>
        </w:rPr>
      </w:pPr>
      <w:r>
        <w:rPr>
          <w:rFonts w:hint="eastAsia"/>
          <w:szCs w:val="21"/>
        </w:rPr>
        <w:t xml:space="preserve">• 必须获得GREENGUARD和/或 SCS 室内优势认证 </w:t>
      </w:r>
    </w:p>
    <w:p>
      <w:pPr>
        <w:jc w:val="left"/>
        <w:rPr>
          <w:szCs w:val="21"/>
        </w:rPr>
      </w:pPr>
      <w:r>
        <w:rPr>
          <w:rFonts w:hint="eastAsia"/>
          <w:szCs w:val="21"/>
        </w:rPr>
        <w:t>• 必须能够支撑多达300磅重量</w:t>
      </w:r>
    </w:p>
    <w:p>
      <w:pPr>
        <w:jc w:val="left"/>
        <w:rPr>
          <w:szCs w:val="21"/>
        </w:rPr>
      </w:pPr>
      <w:r>
        <w:rPr>
          <w:rFonts w:hint="eastAsia"/>
          <w:szCs w:val="21"/>
        </w:rPr>
        <w:t xml:space="preserve">• 必须包括带4条腿底座的翻转式嵌套座椅 </w:t>
      </w:r>
    </w:p>
    <w:p>
      <w:pPr>
        <w:jc w:val="left"/>
        <w:rPr>
          <w:szCs w:val="21"/>
        </w:rPr>
      </w:pPr>
      <w:r>
        <w:rPr>
          <w:rFonts w:hint="eastAsia"/>
          <w:szCs w:val="21"/>
        </w:rPr>
        <w:t xml:space="preserve">• 必须包含具有多种颜色选项的网状靠背 </w:t>
      </w:r>
    </w:p>
    <w:p>
      <w:pPr>
        <w:jc w:val="left"/>
        <w:rPr>
          <w:szCs w:val="21"/>
        </w:rPr>
      </w:pPr>
      <w:r>
        <w:t>•</w:t>
      </w:r>
      <w:r>
        <w:rPr>
          <w:rFonts w:hint="eastAsia"/>
        </w:rPr>
        <w:t xml:space="preserve"> </w:t>
      </w:r>
      <w:r>
        <w:rPr>
          <w:rFonts w:hint="eastAsia"/>
          <w:szCs w:val="21"/>
        </w:rPr>
        <w:t xml:space="preserve">座椅尺寸：18 "D x 18"W （+/-1"） </w:t>
      </w:r>
    </w:p>
    <w:p>
      <w:pPr>
        <w:jc w:val="left"/>
        <w:rPr>
          <w:szCs w:val="21"/>
        </w:rPr>
      </w:pPr>
      <w:r>
        <w:rPr>
          <w:rFonts w:hint="eastAsia"/>
          <w:szCs w:val="21"/>
        </w:rPr>
        <w:t xml:space="preserve">• 座椅的靠背高度范围 16"-19" </w:t>
      </w:r>
    </w:p>
    <w:p>
      <w:pPr>
        <w:jc w:val="left"/>
        <w:rPr>
          <w:szCs w:val="21"/>
        </w:rPr>
      </w:pPr>
      <w:r>
        <w:rPr>
          <w:rFonts w:hint="eastAsia"/>
          <w:szCs w:val="21"/>
        </w:rPr>
        <w:t xml:space="preserve">• 可使用固定/附加型扶手 </w:t>
      </w:r>
    </w:p>
    <w:p>
      <w:pPr>
        <w:jc w:val="left"/>
        <w:rPr>
          <w:szCs w:val="21"/>
        </w:rPr>
      </w:pPr>
      <w:r>
        <w:rPr>
          <w:rFonts w:hint="eastAsia"/>
          <w:szCs w:val="21"/>
        </w:rPr>
        <w:t xml:space="preserve">• 垫衬物必须达到 100 000 双擦系数（最小） 的磨损等级 </w:t>
      </w:r>
    </w:p>
    <w:p>
      <w:pPr>
        <w:jc w:val="left"/>
        <w:rPr>
          <w:szCs w:val="21"/>
        </w:rPr>
      </w:pPr>
      <w:r>
        <w:rPr>
          <w:rFonts w:hint="eastAsia"/>
          <w:szCs w:val="21"/>
        </w:rPr>
        <w:t xml:space="preserve">• 垫衬物必须防污， 偏向易于清洁的垫衬物 </w:t>
      </w:r>
    </w:p>
    <w:p>
      <w:pPr>
        <w:jc w:val="left"/>
        <w:rPr>
          <w:szCs w:val="21"/>
        </w:rPr>
      </w:pPr>
      <w:r>
        <w:t>•</w:t>
      </w:r>
      <w:r>
        <w:rPr>
          <w:rFonts w:hint="eastAsia"/>
        </w:rPr>
        <w:t xml:space="preserve"> </w:t>
      </w:r>
      <w:r>
        <w:rPr>
          <w:rFonts w:hint="eastAsia"/>
          <w:szCs w:val="21"/>
        </w:rPr>
        <w:t xml:space="preserve">必须有织物和乙烯基的垫衬物选项，并有各种颜色的座位可供挑选 </w:t>
      </w:r>
    </w:p>
    <w:p>
      <w:pPr>
        <w:jc w:val="left"/>
        <w:rPr>
          <w:szCs w:val="21"/>
        </w:rPr>
      </w:pPr>
      <w:r>
        <w:rPr>
          <w:rFonts w:hint="eastAsia"/>
          <w:szCs w:val="21"/>
        </w:rPr>
        <w:t xml:space="preserve">• 偏好与项目1.0会议室椅子一致或般配的垫衬物 </w:t>
      </w:r>
    </w:p>
    <w:p>
      <w:pPr>
        <w:jc w:val="left"/>
        <w:rPr>
          <w:szCs w:val="21"/>
        </w:rPr>
      </w:pPr>
      <w:r>
        <w:t>•</w:t>
      </w:r>
      <w:r>
        <w:rPr>
          <w:rFonts w:hint="eastAsia"/>
        </w:rPr>
        <w:t xml:space="preserve"> </w:t>
      </w:r>
      <w:r>
        <w:rPr>
          <w:rFonts w:hint="eastAsia"/>
          <w:szCs w:val="21"/>
        </w:rPr>
        <w:t>必须提供可滑动或脚轮选项，适合硬表面（LVT）和地毯类型地面，无需额外费用</w:t>
      </w:r>
      <w:r>
        <w:rPr>
          <w:szCs w:val="21"/>
        </w:rPr>
        <w:t xml:space="preserve"> </w:t>
      </w:r>
    </w:p>
    <w:p>
      <w:pPr>
        <w:jc w:val="left"/>
        <w:rPr>
          <w:rFonts w:hint="default" w:eastAsia="宋体"/>
          <w:sz w:val="24"/>
          <w:lang w:val="en-US" w:eastAsia="zh-CN"/>
        </w:rPr>
      </w:pPr>
      <w:r>
        <w:rPr>
          <w:rFonts w:hint="eastAsia"/>
          <w:sz w:val="24"/>
          <w:lang w:val="en-US" w:eastAsia="zh-CN"/>
        </w:rPr>
        <w:t xml:space="preserve">  数量：200个</w:t>
      </w:r>
    </w:p>
    <w:p>
      <w:pPr>
        <w:jc w:val="left"/>
      </w:pPr>
      <w:r>
        <w:rPr>
          <w:rFonts w:hint="eastAsia"/>
          <w:sz w:val="24"/>
        </w:rPr>
        <w:t>Item#4:</w:t>
      </w:r>
      <w:r>
        <w:rPr>
          <w:rFonts w:hint="eastAsia"/>
        </w:rPr>
        <w:t xml:space="preserve"> </w:t>
      </w:r>
      <w:r>
        <w:t>CAFÉ CHAIR</w:t>
      </w:r>
    </w:p>
    <w:p>
      <w:pPr>
        <w:jc w:val="left"/>
        <w:rPr>
          <w:szCs w:val="21"/>
        </w:rPr>
      </w:pPr>
      <w:r>
        <w:rPr>
          <w:rFonts w:hint="eastAsia"/>
          <w:sz w:val="24"/>
        </w:rPr>
        <w:t>•</w:t>
      </w:r>
      <w:r>
        <w:rPr>
          <w:szCs w:val="21"/>
        </w:rPr>
        <w:t xml:space="preserve">Must meet ANSI/BIFMA e3-2014e Furniture Sustainability Standard </w:t>
      </w:r>
    </w:p>
    <w:p>
      <w:pPr>
        <w:jc w:val="left"/>
        <w:rPr>
          <w:szCs w:val="21"/>
        </w:rPr>
      </w:pPr>
      <w:r>
        <w:rPr>
          <w:szCs w:val="21"/>
        </w:rPr>
        <w:t xml:space="preserve">• Must be GREENGUARD and/or SCS Indoor Advantage Certified </w:t>
      </w:r>
    </w:p>
    <w:p>
      <w:pPr>
        <w:jc w:val="left"/>
        <w:rPr>
          <w:szCs w:val="21"/>
        </w:rPr>
      </w:pPr>
      <w:r>
        <w:rPr>
          <w:szCs w:val="21"/>
        </w:rPr>
        <w:t xml:space="preserve">• Must be able to support up to 300lbs </w:t>
      </w:r>
    </w:p>
    <w:p>
      <w:pPr>
        <w:jc w:val="left"/>
        <w:rPr>
          <w:szCs w:val="21"/>
        </w:rPr>
      </w:pPr>
      <w:r>
        <w:rPr>
          <w:szCs w:val="21"/>
        </w:rPr>
        <w:t xml:space="preserve">• All chair heights must match in style </w:t>
      </w:r>
    </w:p>
    <w:p>
      <w:pPr>
        <w:jc w:val="left"/>
        <w:rPr>
          <w:szCs w:val="21"/>
        </w:rPr>
      </w:pPr>
      <w:r>
        <w:rPr>
          <w:szCs w:val="21"/>
        </w:rPr>
        <w:t xml:space="preserve">• Leg style to be either a sled base or 4 leg base without casters </w:t>
      </w:r>
    </w:p>
    <w:p>
      <w:pPr>
        <w:jc w:val="left"/>
        <w:rPr>
          <w:szCs w:val="21"/>
        </w:rPr>
      </w:pPr>
      <w:r>
        <w:rPr>
          <w:szCs w:val="21"/>
        </w:rPr>
        <w:t xml:space="preserve">• Glides must be suitable for </w:t>
      </w:r>
      <w:r>
        <w:rPr>
          <w:rFonts w:hint="eastAsia"/>
          <w:szCs w:val="21"/>
        </w:rPr>
        <w:t>both</w:t>
      </w:r>
      <w:r>
        <w:rPr>
          <w:szCs w:val="21"/>
        </w:rPr>
        <w:t xml:space="preserve"> hard surface (LVT, tile) and carpet flooring types at no additional cost </w:t>
      </w:r>
    </w:p>
    <w:p>
      <w:pPr>
        <w:jc w:val="left"/>
        <w:rPr>
          <w:szCs w:val="21"/>
        </w:rPr>
      </w:pPr>
      <w:r>
        <w:rPr>
          <w:szCs w:val="21"/>
        </w:rPr>
        <w:t xml:space="preserve">• Seat dimensions: 18”D x 18”W (+/-1”) </w:t>
      </w:r>
    </w:p>
    <w:p>
      <w:pPr>
        <w:jc w:val="left"/>
        <w:rPr>
          <w:szCs w:val="21"/>
        </w:rPr>
      </w:pPr>
      <w:r>
        <w:rPr>
          <w:szCs w:val="21"/>
        </w:rPr>
        <w:t xml:space="preserve">• Back height from seat: 17” (+/-1”) </w:t>
      </w:r>
    </w:p>
    <w:p>
      <w:pPr>
        <w:jc w:val="left"/>
        <w:rPr>
          <w:szCs w:val="21"/>
        </w:rPr>
      </w:pPr>
      <w:r>
        <w:rPr>
          <w:szCs w:val="21"/>
        </w:rPr>
        <w:t xml:space="preserve">• Seat and back must be plastic non-upholstered with minimum of 10 color options </w:t>
      </w:r>
    </w:p>
    <w:p>
      <w:pPr>
        <w:jc w:val="left"/>
        <w:rPr>
          <w:szCs w:val="21"/>
        </w:rPr>
      </w:pPr>
      <w:r>
        <w:rPr>
          <w:szCs w:val="21"/>
        </w:rPr>
        <w:t xml:space="preserve">4.1 Café Chair – Table Height • Seat height: 17” (+/- 1”) </w:t>
      </w:r>
    </w:p>
    <w:p>
      <w:pPr>
        <w:jc w:val="left"/>
        <w:rPr>
          <w:szCs w:val="21"/>
        </w:rPr>
      </w:pPr>
      <w:r>
        <w:rPr>
          <w:szCs w:val="21"/>
        </w:rPr>
        <w:t xml:space="preserve">4.2 Cafe Chair – Counter Height • Seat height: 24” (+/- 1”) </w:t>
      </w:r>
    </w:p>
    <w:p>
      <w:pPr>
        <w:jc w:val="left"/>
      </w:pPr>
      <w:r>
        <w:rPr>
          <w:szCs w:val="21"/>
        </w:rPr>
        <w:t>4.3 Café Chair – Bar Height • Seat height: 29” (+/- 1”)</w:t>
      </w:r>
    </w:p>
    <w:p>
      <w:pPr>
        <w:jc w:val="left"/>
        <w:rPr>
          <w:szCs w:val="21"/>
        </w:rPr>
      </w:pPr>
      <w:bookmarkStart w:id="0" w:name="_GoBack"/>
      <w:r>
        <w:rPr>
          <w:rFonts w:hint="eastAsia"/>
        </w:rPr>
        <w:t>产品#4：</w:t>
      </w:r>
      <w:r>
        <w:rPr>
          <w:sz w:val="24"/>
        </w:rPr>
        <w:t xml:space="preserve"> 咖啡吧椅</w:t>
      </w:r>
      <w:r>
        <w:rPr>
          <w:rFonts w:hint="eastAsia"/>
          <w:sz w:val="24"/>
        </w:rPr>
        <w:br w:type="textWrapping"/>
      </w:r>
      <w:r>
        <w:rPr>
          <w:rFonts w:hint="eastAsia"/>
          <w:szCs w:val="21"/>
        </w:rPr>
        <w:t xml:space="preserve">• 必须符合 ANSI/BIFMA e3-2014e 家具可持续性标准 </w:t>
      </w:r>
    </w:p>
    <w:p>
      <w:pPr>
        <w:jc w:val="left"/>
        <w:rPr>
          <w:szCs w:val="21"/>
        </w:rPr>
      </w:pPr>
      <w:r>
        <w:rPr>
          <w:rFonts w:hint="eastAsia"/>
          <w:szCs w:val="21"/>
        </w:rPr>
        <w:t xml:space="preserve">• 必须获得 GREENGUARD 和/或 SCS 室内优势认证 </w:t>
      </w:r>
    </w:p>
    <w:p>
      <w:pPr>
        <w:jc w:val="left"/>
        <w:rPr>
          <w:szCs w:val="21"/>
        </w:rPr>
      </w:pPr>
      <w:r>
        <w:rPr>
          <w:rFonts w:hint="eastAsia"/>
          <w:szCs w:val="21"/>
        </w:rPr>
        <w:t xml:space="preserve">• 必须能够支撑高达300磅的重量 </w:t>
      </w:r>
    </w:p>
    <w:p>
      <w:pPr>
        <w:jc w:val="left"/>
        <w:rPr>
          <w:szCs w:val="21"/>
        </w:rPr>
      </w:pPr>
      <w:r>
        <w:rPr>
          <w:rFonts w:hint="eastAsia"/>
          <w:szCs w:val="21"/>
        </w:rPr>
        <w:t xml:space="preserve">• 所有座椅高度必须符合类型要求 </w:t>
      </w:r>
    </w:p>
    <w:p>
      <w:pPr>
        <w:jc w:val="left"/>
        <w:rPr>
          <w:szCs w:val="21"/>
        </w:rPr>
      </w:pPr>
      <w:r>
        <w:rPr>
          <w:rFonts w:hint="eastAsia"/>
          <w:szCs w:val="21"/>
        </w:rPr>
        <w:t xml:space="preserve">• 椅子腿的类型应为雪橇底座或4腿底座，无脚轮板 </w:t>
      </w:r>
    </w:p>
    <w:p>
      <w:pPr>
        <w:jc w:val="left"/>
        <w:rPr>
          <w:szCs w:val="21"/>
        </w:rPr>
      </w:pPr>
      <w:r>
        <w:rPr>
          <w:rFonts w:hint="eastAsia"/>
          <w:szCs w:val="21"/>
        </w:rPr>
        <w:t xml:space="preserve">• 滑翔必须适用于硬表面（LVT、 瓷砖）和地毯地板类型，无需额外费用 </w:t>
      </w:r>
    </w:p>
    <w:p>
      <w:pPr>
        <w:jc w:val="left"/>
        <w:rPr>
          <w:szCs w:val="21"/>
        </w:rPr>
      </w:pPr>
      <w:r>
        <w:rPr>
          <w:rFonts w:hint="eastAsia"/>
          <w:szCs w:val="21"/>
        </w:rPr>
        <w:t xml:space="preserve">• 座椅尺寸：18"D x 18"W （+/-1"） </w:t>
      </w:r>
    </w:p>
    <w:p>
      <w:pPr>
        <w:jc w:val="left"/>
        <w:rPr>
          <w:szCs w:val="21"/>
        </w:rPr>
      </w:pPr>
      <w:r>
        <w:rPr>
          <w:rFonts w:hint="eastAsia"/>
          <w:szCs w:val="21"/>
        </w:rPr>
        <w:t xml:space="preserve">• 座椅靠背高度：17" （+/-1"） </w:t>
      </w:r>
    </w:p>
    <w:p>
      <w:pPr>
        <w:jc w:val="left"/>
        <w:rPr>
          <w:szCs w:val="21"/>
        </w:rPr>
      </w:pPr>
      <w:r>
        <w:rPr>
          <w:rFonts w:hint="eastAsia"/>
          <w:szCs w:val="21"/>
        </w:rPr>
        <w:t xml:space="preserve">• 座椅和靠背必须为非软垫塑料，至少 10 种颜色选项 </w:t>
      </w:r>
    </w:p>
    <w:p>
      <w:pPr>
        <w:jc w:val="left"/>
        <w:rPr>
          <w:rFonts w:hint="default" w:eastAsia="宋体"/>
          <w:szCs w:val="21"/>
          <w:lang w:val="en-US" w:eastAsia="zh-CN"/>
        </w:rPr>
      </w:pPr>
      <w:r>
        <w:rPr>
          <w:rFonts w:hint="eastAsia"/>
          <w:szCs w:val="21"/>
        </w:rPr>
        <w:t xml:space="preserve">产品4.1 咖啡椅（餐桌高度）•高度： 17" （+/- 1"） </w:t>
      </w:r>
      <w:r>
        <w:rPr>
          <w:rFonts w:hint="eastAsia"/>
          <w:szCs w:val="21"/>
          <w:lang w:eastAsia="zh-CN"/>
        </w:rPr>
        <w:t>，数量</w:t>
      </w:r>
      <w:r>
        <w:rPr>
          <w:rFonts w:hint="eastAsia"/>
          <w:szCs w:val="21"/>
          <w:lang w:val="en-US" w:eastAsia="zh-CN"/>
        </w:rPr>
        <w:t>75个</w:t>
      </w:r>
    </w:p>
    <w:p>
      <w:pPr>
        <w:jc w:val="left"/>
        <w:rPr>
          <w:rFonts w:hint="default" w:eastAsia="宋体"/>
          <w:szCs w:val="21"/>
          <w:lang w:val="en-US" w:eastAsia="zh-CN"/>
        </w:rPr>
      </w:pPr>
      <w:r>
        <w:rPr>
          <w:rFonts w:hint="eastAsia"/>
          <w:szCs w:val="21"/>
        </w:rPr>
        <w:t xml:space="preserve">产品4.2 咖啡厅椅（柜台高度）• 高度： 24" （+/- 1"） </w:t>
      </w:r>
      <w:r>
        <w:rPr>
          <w:rFonts w:hint="eastAsia"/>
          <w:szCs w:val="21"/>
          <w:lang w:eastAsia="zh-CN"/>
        </w:rPr>
        <w:t>，数量</w:t>
      </w:r>
      <w:r>
        <w:rPr>
          <w:rFonts w:hint="eastAsia"/>
          <w:szCs w:val="21"/>
          <w:lang w:val="en-US" w:eastAsia="zh-CN"/>
        </w:rPr>
        <w:t>25个</w:t>
      </w:r>
    </w:p>
    <w:p>
      <w:pPr>
        <w:jc w:val="left"/>
        <w:rPr>
          <w:rFonts w:hint="default" w:eastAsia="宋体"/>
          <w:sz w:val="24"/>
          <w:lang w:val="en-US" w:eastAsia="zh-CN"/>
        </w:rPr>
      </w:pPr>
      <w:r>
        <w:rPr>
          <w:rFonts w:hint="eastAsia"/>
          <w:szCs w:val="21"/>
        </w:rPr>
        <w:t>产品4.3 咖啡椅（吧台高度）• 高度： 29" （+/- 1"）</w:t>
      </w:r>
      <w:r>
        <w:rPr>
          <w:rFonts w:hint="eastAsia"/>
          <w:szCs w:val="21"/>
          <w:lang w:eastAsia="zh-CN"/>
        </w:rPr>
        <w:t>，数量</w:t>
      </w:r>
      <w:r>
        <w:rPr>
          <w:rFonts w:hint="eastAsia"/>
          <w:szCs w:val="21"/>
          <w:lang w:val="en-US" w:eastAsia="zh-CN"/>
        </w:rPr>
        <w:t>25个</w:t>
      </w:r>
    </w:p>
    <w:bookmarkEnd w:id="0"/>
    <w:p>
      <w:pPr>
        <w:jc w:val="left"/>
        <w:rPr>
          <w:rFonts w:ascii="宋体" w:hAnsi="宋体" w:cs="宋体"/>
          <w:sz w:val="24"/>
        </w:rPr>
      </w:pPr>
      <w:r>
        <w:rPr>
          <w:color w:val="000000"/>
          <w:sz w:val="28"/>
          <w:szCs w:val="28"/>
        </w:rPr>
        <w:br w:type="textWrapping"/>
      </w:r>
      <w:r>
        <w:rPr>
          <w:rFonts w:hint="eastAsia" w:ascii="宋体" w:hAnsi="宋体" w:cs="宋体"/>
          <w:sz w:val="24"/>
        </w:rPr>
        <w:t>送货地址：</w:t>
      </w:r>
      <w:r>
        <w:rPr>
          <w:rFonts w:ascii="宋体" w:hAnsi="宋体" w:cs="宋体"/>
          <w:sz w:val="24"/>
        </w:rPr>
        <w:t>Halifax Regional Municipality</w:t>
      </w:r>
      <w:r>
        <w:rPr>
          <w:rFonts w:hint="eastAsia" w:ascii="宋体" w:hAnsi="宋体" w:cs="宋体"/>
          <w:sz w:val="24"/>
        </w:rPr>
        <w:t>,</w:t>
      </w:r>
      <w:r>
        <w:t xml:space="preserve"> </w:t>
      </w:r>
      <w:r>
        <w:rPr>
          <w:rFonts w:ascii="宋体" w:hAnsi="宋体" w:cs="宋体"/>
          <w:sz w:val="24"/>
        </w:rPr>
        <w:t>Nova Scotia</w:t>
      </w:r>
      <w:r>
        <w:rPr>
          <w:rFonts w:hint="eastAsia" w:ascii="宋体" w:hAnsi="宋体" w:cs="宋体"/>
          <w:sz w:val="24"/>
        </w:rPr>
        <w:t>, Canada</w:t>
      </w:r>
      <w:r>
        <w:rPr>
          <w:rFonts w:ascii="宋体" w:hAnsi="宋体" w:cs="宋体"/>
          <w:sz w:val="24"/>
        </w:rPr>
        <w:cr/>
      </w:r>
    </w:p>
    <w:p>
      <w:pPr>
        <w:jc w:val="left"/>
        <w:rPr>
          <w:rFonts w:ascii="宋体" w:hAnsi="宋体" w:cs="宋体"/>
          <w:sz w:val="24"/>
        </w:rPr>
      </w:pPr>
      <w:r>
        <w:rPr>
          <w:rFonts w:hint="eastAsia" w:ascii="宋体" w:hAnsi="宋体" w:cs="宋体"/>
          <w:sz w:val="24"/>
        </w:rPr>
        <w:t>交期要求：1. Unless otherwise agreed to by HRM in writing, all Goods shall be shipped F.O.B. per IncoTerms 2010 to HRM’s Delivery Point.除非与HRM另外达成书面协议，所有货品都应以IncoTerms 2010里要求的目的地交货的形式送往HRM的收货点。</w:t>
      </w:r>
    </w:p>
    <w:p>
      <w:pPr>
        <w:jc w:val="left"/>
        <w:rPr>
          <w:rFonts w:ascii="宋体" w:hAnsi="宋体" w:cs="宋体"/>
          <w:sz w:val="24"/>
        </w:rPr>
      </w:pPr>
      <w:r>
        <w:rPr>
          <w:rFonts w:hint="eastAsia" w:ascii="宋体" w:hAnsi="宋体" w:cs="宋体"/>
          <w:sz w:val="24"/>
        </w:rPr>
        <w:t>3. Warranty on installation minimum one (1) year from date of installation.安装保险必须有效期在安装日起算一年以上</w:t>
      </w:r>
    </w:p>
    <w:p>
      <w:pPr>
        <w:jc w:val="left"/>
        <w:rPr>
          <w:rFonts w:ascii="宋体" w:hAnsi="宋体" w:cs="宋体"/>
          <w:sz w:val="24"/>
        </w:rPr>
      </w:pPr>
      <w:r>
        <w:rPr>
          <w:rFonts w:hint="eastAsia" w:ascii="宋体" w:hAnsi="宋体" w:cs="宋体"/>
          <w:sz w:val="24"/>
        </w:rPr>
        <w:t>Product warranty against manufacturers defects or premature component failure minimum five (5) years.产品针对制造商瑕疵或不够完善的部件瑕疵方面的保险必须有五年以上有效期。</w:t>
      </w:r>
    </w:p>
    <w:p>
      <w:pPr>
        <w:jc w:val="left"/>
        <w:rPr>
          <w:rFonts w:ascii="宋体" w:hAnsi="宋体" w:cs="宋体"/>
          <w:sz w:val="24"/>
        </w:rPr>
      </w:pPr>
    </w:p>
    <w:p>
      <w:pPr>
        <w:jc w:val="left"/>
        <w:rPr>
          <w:rFonts w:ascii="宋体" w:hAnsi="宋体" w:cs="宋体"/>
          <w:sz w:val="24"/>
        </w:rPr>
      </w:pPr>
      <w:r>
        <w:rPr>
          <w:rFonts w:hint="eastAsia" w:ascii="宋体" w:hAnsi="宋体" w:cs="宋体"/>
          <w:sz w:val="24"/>
        </w:rPr>
        <w:t>发货要求：（一次/按需发货）一次发货</w:t>
      </w:r>
    </w:p>
    <w:p>
      <w:pPr>
        <w:jc w:val="left"/>
        <w:rPr>
          <w:rFonts w:ascii="宋体" w:hAnsi="宋体" w:cs="宋体"/>
          <w:sz w:val="24"/>
        </w:rPr>
      </w:pPr>
    </w:p>
    <w:p>
      <w:pPr>
        <w:jc w:val="left"/>
        <w:rPr>
          <w:b/>
          <w:bCs/>
          <w:sz w:val="30"/>
          <w:szCs w:val="30"/>
          <w:shd w:val="clear" w:color="auto" w:fill="FFFFFF"/>
        </w:rPr>
      </w:pPr>
    </w:p>
    <w:p>
      <w:pPr>
        <w:jc w:val="left"/>
        <w:rPr>
          <w:b/>
          <w:bCs/>
          <w:sz w:val="30"/>
          <w:szCs w:val="30"/>
          <w:shd w:val="clear" w:color="auto" w:fill="FFFFFF"/>
        </w:rPr>
      </w:pPr>
      <w:r>
        <w:rPr>
          <w:b/>
          <w:bCs/>
          <w:sz w:val="30"/>
          <w:szCs w:val="30"/>
          <w:shd w:val="clear" w:color="auto" w:fill="FFFFFF"/>
        </w:rPr>
        <w:t>四、Remark（备注）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295" w:type="dxa"/>
            <w:vAlign w:val="center"/>
          </w:tcPr>
          <w:p>
            <w:pPr>
              <w:rPr>
                <w:sz w:val="24"/>
              </w:rPr>
            </w:pPr>
            <w:r>
              <w:rPr>
                <w:sz w:val="24"/>
              </w:rPr>
              <w:t>Packing包装方式：</w:t>
            </w:r>
          </w:p>
        </w:tc>
        <w:tc>
          <w:tcPr>
            <w:tcW w:w="700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295" w:type="dxa"/>
            <w:vAlign w:val="center"/>
          </w:tcPr>
          <w:p>
            <w:pPr>
              <w:rPr>
                <w:sz w:val="24"/>
              </w:rPr>
            </w:pPr>
            <w:r>
              <w:rPr>
                <w:sz w:val="24"/>
              </w:rPr>
              <w:t>G.W毛重</w:t>
            </w:r>
          </w:p>
        </w:tc>
        <w:tc>
          <w:tcPr>
            <w:tcW w:w="700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295" w:type="dxa"/>
            <w:vAlign w:val="center"/>
          </w:tcPr>
          <w:p>
            <w:pPr>
              <w:rPr>
                <w:sz w:val="24"/>
              </w:rPr>
            </w:pPr>
            <w:r>
              <w:rPr>
                <w:rFonts w:hint="eastAsia"/>
                <w:sz w:val="24"/>
              </w:rPr>
              <w:t>Volume 体积</w:t>
            </w:r>
          </w:p>
        </w:tc>
        <w:tc>
          <w:tcPr>
            <w:tcW w:w="700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295" w:type="dxa"/>
            <w:vAlign w:val="center"/>
          </w:tcPr>
          <w:p>
            <w:pPr>
              <w:rPr>
                <w:sz w:val="24"/>
              </w:rPr>
            </w:pPr>
            <w:r>
              <w:rPr>
                <w:sz w:val="24"/>
              </w:rPr>
              <w:t>HS code海关编码：</w:t>
            </w:r>
          </w:p>
        </w:tc>
        <w:tc>
          <w:tcPr>
            <w:tcW w:w="700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295" w:type="dxa"/>
            <w:vAlign w:val="center"/>
          </w:tcPr>
          <w:p>
            <w:pPr>
              <w:rPr>
                <w:sz w:val="24"/>
              </w:rPr>
            </w:pPr>
            <w:r>
              <w:rPr>
                <w:sz w:val="24"/>
              </w:rPr>
              <w:t>Date报价日期：</w:t>
            </w:r>
          </w:p>
        </w:tc>
        <w:tc>
          <w:tcPr>
            <w:tcW w:w="7001" w:type="dxa"/>
            <w:vAlign w:val="center"/>
          </w:tcPr>
          <w:p>
            <w:pPr>
              <w:rPr>
                <w:sz w:val="24"/>
              </w:rPr>
            </w:pPr>
          </w:p>
        </w:tc>
      </w:tr>
    </w:tbl>
    <w:p>
      <w:pPr>
        <w:jc w:val="left"/>
        <w:rPr>
          <w:sz w:val="30"/>
          <w:szCs w:val="30"/>
        </w:rPr>
      </w:pPr>
    </w:p>
    <w:sectPr>
      <w:headerReference r:id="rId3" w:type="default"/>
      <w:foot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微软雅黑" w:hAnsi="微软雅黑" w:eastAsia="微软雅黑" w:cs="微软雅黑"/>
      </w:rPr>
    </w:pPr>
    <w:r>
      <w:rPr>
        <w:rFonts w:hint="eastAsia" w:ascii="微软雅黑" w:hAnsi="微软雅黑" w:eastAsia="微软雅黑" w:cs="微软雅黑"/>
      </w:rPr>
      <w:t>订单来自GOVBUY（www.governmentbuy.com）,欢迎企业登录网站获取订单，联系电话0512-63400001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rPr>
        <w:rFonts w:hint="eastAsia"/>
      </w:rPr>
      <w:drawing>
        <wp:anchor distT="0" distB="0" distL="114300" distR="114300" simplePos="0" relativeHeight="251658240" behindDoc="0" locked="0" layoutInCell="1" allowOverlap="1">
          <wp:simplePos x="0" y="0"/>
          <wp:positionH relativeFrom="column">
            <wp:posOffset>-552450</wp:posOffset>
          </wp:positionH>
          <wp:positionV relativeFrom="paragraph">
            <wp:posOffset>-409575</wp:posOffset>
          </wp:positionV>
          <wp:extent cx="1756410" cy="753745"/>
          <wp:effectExtent l="0" t="0" r="0" b="0"/>
          <wp:wrapNone/>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noChangeArrowheads="1"/>
                  </pic:cNvPicPr>
                </pic:nvPicPr>
                <pic:blipFill>
                  <a:blip r:embed="rId1"/>
                  <a:srcRect/>
                  <a:stretch>
                    <a:fillRect/>
                  </a:stretch>
                </pic:blipFill>
                <pic:spPr>
                  <a:xfrm>
                    <a:off x="0" y="0"/>
                    <a:ext cx="1756410" cy="753745"/>
                  </a:xfrm>
                  <a:prstGeom prst="rect">
                    <a:avLst/>
                  </a:prstGeom>
                  <a:noFill/>
                  <a:ln w="9525" cmpd="sng">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E0C56"/>
    <w:multiLevelType w:val="multilevel"/>
    <w:tmpl w:val="266E0C56"/>
    <w:lvl w:ilvl="0" w:tentative="0">
      <w:start w:val="202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2AE69A9"/>
    <w:multiLevelType w:val="multilevel"/>
    <w:tmpl w:val="62AE69A9"/>
    <w:lvl w:ilvl="0" w:tentative="0">
      <w:start w:val="202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3C"/>
    <w:rsid w:val="000000DE"/>
    <w:rsid w:val="00006E26"/>
    <w:rsid w:val="00010046"/>
    <w:rsid w:val="0001387A"/>
    <w:rsid w:val="000171B6"/>
    <w:rsid w:val="00020C01"/>
    <w:rsid w:val="0002268A"/>
    <w:rsid w:val="000267C7"/>
    <w:rsid w:val="00042CA4"/>
    <w:rsid w:val="00065ACB"/>
    <w:rsid w:val="000763F8"/>
    <w:rsid w:val="000903BB"/>
    <w:rsid w:val="000A0458"/>
    <w:rsid w:val="000A17F2"/>
    <w:rsid w:val="000A5941"/>
    <w:rsid w:val="000C69E9"/>
    <w:rsid w:val="000D1D0E"/>
    <w:rsid w:val="000E74D9"/>
    <w:rsid w:val="000F0E7D"/>
    <w:rsid w:val="000F4BF2"/>
    <w:rsid w:val="00103B08"/>
    <w:rsid w:val="00111D25"/>
    <w:rsid w:val="00115C9B"/>
    <w:rsid w:val="001326E6"/>
    <w:rsid w:val="001520B7"/>
    <w:rsid w:val="00170559"/>
    <w:rsid w:val="00180BB3"/>
    <w:rsid w:val="00185201"/>
    <w:rsid w:val="00194E4A"/>
    <w:rsid w:val="001B5A24"/>
    <w:rsid w:val="001D1139"/>
    <w:rsid w:val="001D55EF"/>
    <w:rsid w:val="001D6517"/>
    <w:rsid w:val="001E1BEA"/>
    <w:rsid w:val="001E228A"/>
    <w:rsid w:val="001E44F3"/>
    <w:rsid w:val="001E54B8"/>
    <w:rsid w:val="001F5D9A"/>
    <w:rsid w:val="00215CB9"/>
    <w:rsid w:val="0023705A"/>
    <w:rsid w:val="00242C46"/>
    <w:rsid w:val="00243FC4"/>
    <w:rsid w:val="00254096"/>
    <w:rsid w:val="00275D36"/>
    <w:rsid w:val="00283E0F"/>
    <w:rsid w:val="0028541A"/>
    <w:rsid w:val="00293F87"/>
    <w:rsid w:val="002B0D2C"/>
    <w:rsid w:val="002C4996"/>
    <w:rsid w:val="002C5E4A"/>
    <w:rsid w:val="002E2846"/>
    <w:rsid w:val="002E2856"/>
    <w:rsid w:val="002E6A2C"/>
    <w:rsid w:val="002F6584"/>
    <w:rsid w:val="00330C62"/>
    <w:rsid w:val="00342DB4"/>
    <w:rsid w:val="00355291"/>
    <w:rsid w:val="00357D58"/>
    <w:rsid w:val="00367FD4"/>
    <w:rsid w:val="003717E5"/>
    <w:rsid w:val="003735D3"/>
    <w:rsid w:val="00385731"/>
    <w:rsid w:val="0039231D"/>
    <w:rsid w:val="003B04BE"/>
    <w:rsid w:val="003B075B"/>
    <w:rsid w:val="003B1772"/>
    <w:rsid w:val="003B3EC9"/>
    <w:rsid w:val="003C2DF3"/>
    <w:rsid w:val="003D01BC"/>
    <w:rsid w:val="00400913"/>
    <w:rsid w:val="004106A8"/>
    <w:rsid w:val="004256C0"/>
    <w:rsid w:val="00435EC2"/>
    <w:rsid w:val="00453F78"/>
    <w:rsid w:val="0046097B"/>
    <w:rsid w:val="00497606"/>
    <w:rsid w:val="004A2DCC"/>
    <w:rsid w:val="004E5975"/>
    <w:rsid w:val="004F26BA"/>
    <w:rsid w:val="00501414"/>
    <w:rsid w:val="005079D7"/>
    <w:rsid w:val="005136A4"/>
    <w:rsid w:val="00513840"/>
    <w:rsid w:val="00516A0B"/>
    <w:rsid w:val="0051758A"/>
    <w:rsid w:val="00525C1C"/>
    <w:rsid w:val="00541A4C"/>
    <w:rsid w:val="005469A0"/>
    <w:rsid w:val="005636F8"/>
    <w:rsid w:val="0056438A"/>
    <w:rsid w:val="00573B59"/>
    <w:rsid w:val="0058353C"/>
    <w:rsid w:val="0058537B"/>
    <w:rsid w:val="00585594"/>
    <w:rsid w:val="00592974"/>
    <w:rsid w:val="005A261B"/>
    <w:rsid w:val="005B28EF"/>
    <w:rsid w:val="005C19B1"/>
    <w:rsid w:val="005D73B1"/>
    <w:rsid w:val="005E7D7D"/>
    <w:rsid w:val="0061414C"/>
    <w:rsid w:val="00657B75"/>
    <w:rsid w:val="0068578D"/>
    <w:rsid w:val="00687656"/>
    <w:rsid w:val="006917F4"/>
    <w:rsid w:val="00691C2D"/>
    <w:rsid w:val="006B017D"/>
    <w:rsid w:val="006C07F6"/>
    <w:rsid w:val="006C32C6"/>
    <w:rsid w:val="006D0499"/>
    <w:rsid w:val="006D1301"/>
    <w:rsid w:val="006D4524"/>
    <w:rsid w:val="007428D4"/>
    <w:rsid w:val="007504A0"/>
    <w:rsid w:val="00750792"/>
    <w:rsid w:val="007515B0"/>
    <w:rsid w:val="00761DF5"/>
    <w:rsid w:val="00761E61"/>
    <w:rsid w:val="0077185B"/>
    <w:rsid w:val="00771DA2"/>
    <w:rsid w:val="00786BCD"/>
    <w:rsid w:val="007A3497"/>
    <w:rsid w:val="007A6639"/>
    <w:rsid w:val="007C01D8"/>
    <w:rsid w:val="007D009F"/>
    <w:rsid w:val="007D422C"/>
    <w:rsid w:val="007D4B5D"/>
    <w:rsid w:val="007E1755"/>
    <w:rsid w:val="007F0B04"/>
    <w:rsid w:val="00813473"/>
    <w:rsid w:val="00837F30"/>
    <w:rsid w:val="0086278F"/>
    <w:rsid w:val="008811BC"/>
    <w:rsid w:val="00885362"/>
    <w:rsid w:val="008B3CD8"/>
    <w:rsid w:val="008B6ABD"/>
    <w:rsid w:val="008C6AF0"/>
    <w:rsid w:val="008D3E81"/>
    <w:rsid w:val="008D450D"/>
    <w:rsid w:val="008D4521"/>
    <w:rsid w:val="00902688"/>
    <w:rsid w:val="00927594"/>
    <w:rsid w:val="0093019B"/>
    <w:rsid w:val="00930CE6"/>
    <w:rsid w:val="009404F2"/>
    <w:rsid w:val="0096654D"/>
    <w:rsid w:val="009677D3"/>
    <w:rsid w:val="00974781"/>
    <w:rsid w:val="00976B62"/>
    <w:rsid w:val="009E22BB"/>
    <w:rsid w:val="009F3A6C"/>
    <w:rsid w:val="00A04403"/>
    <w:rsid w:val="00A06899"/>
    <w:rsid w:val="00A31A6C"/>
    <w:rsid w:val="00A5285A"/>
    <w:rsid w:val="00A53FC4"/>
    <w:rsid w:val="00A57A3A"/>
    <w:rsid w:val="00A86BEF"/>
    <w:rsid w:val="00AB5D10"/>
    <w:rsid w:val="00AB5EF8"/>
    <w:rsid w:val="00AB788B"/>
    <w:rsid w:val="00AC0D6C"/>
    <w:rsid w:val="00AD6575"/>
    <w:rsid w:val="00B0100D"/>
    <w:rsid w:val="00B12875"/>
    <w:rsid w:val="00B16A2D"/>
    <w:rsid w:val="00B27AD2"/>
    <w:rsid w:val="00B409E9"/>
    <w:rsid w:val="00B412A1"/>
    <w:rsid w:val="00B427CB"/>
    <w:rsid w:val="00B45508"/>
    <w:rsid w:val="00B51041"/>
    <w:rsid w:val="00B61C26"/>
    <w:rsid w:val="00B62989"/>
    <w:rsid w:val="00B63E47"/>
    <w:rsid w:val="00B70946"/>
    <w:rsid w:val="00B77226"/>
    <w:rsid w:val="00B856FE"/>
    <w:rsid w:val="00B90C76"/>
    <w:rsid w:val="00B92AE1"/>
    <w:rsid w:val="00B97ABC"/>
    <w:rsid w:val="00BC0E45"/>
    <w:rsid w:val="00BD1D0E"/>
    <w:rsid w:val="00BD3D18"/>
    <w:rsid w:val="00BE5872"/>
    <w:rsid w:val="00BE63E9"/>
    <w:rsid w:val="00BE710C"/>
    <w:rsid w:val="00BF1469"/>
    <w:rsid w:val="00C02FA9"/>
    <w:rsid w:val="00C043A3"/>
    <w:rsid w:val="00C10655"/>
    <w:rsid w:val="00C10D58"/>
    <w:rsid w:val="00C21862"/>
    <w:rsid w:val="00C22BC9"/>
    <w:rsid w:val="00C402F0"/>
    <w:rsid w:val="00C444ED"/>
    <w:rsid w:val="00C4754A"/>
    <w:rsid w:val="00C51424"/>
    <w:rsid w:val="00C5165F"/>
    <w:rsid w:val="00C52057"/>
    <w:rsid w:val="00C64376"/>
    <w:rsid w:val="00C65AED"/>
    <w:rsid w:val="00C737D3"/>
    <w:rsid w:val="00C737EB"/>
    <w:rsid w:val="00C80302"/>
    <w:rsid w:val="00C86AED"/>
    <w:rsid w:val="00C9075A"/>
    <w:rsid w:val="00CA04E1"/>
    <w:rsid w:val="00CA74A3"/>
    <w:rsid w:val="00CB62FD"/>
    <w:rsid w:val="00CB7987"/>
    <w:rsid w:val="00CB7B57"/>
    <w:rsid w:val="00CC73A5"/>
    <w:rsid w:val="00CE3479"/>
    <w:rsid w:val="00CE6B4D"/>
    <w:rsid w:val="00CF58DD"/>
    <w:rsid w:val="00D2059E"/>
    <w:rsid w:val="00D87963"/>
    <w:rsid w:val="00D87BE8"/>
    <w:rsid w:val="00D95529"/>
    <w:rsid w:val="00D97DDE"/>
    <w:rsid w:val="00DA08CB"/>
    <w:rsid w:val="00DA16BA"/>
    <w:rsid w:val="00DA51E6"/>
    <w:rsid w:val="00DD783B"/>
    <w:rsid w:val="00E01523"/>
    <w:rsid w:val="00E325E6"/>
    <w:rsid w:val="00E35933"/>
    <w:rsid w:val="00E36977"/>
    <w:rsid w:val="00E36DBC"/>
    <w:rsid w:val="00E40F13"/>
    <w:rsid w:val="00E65EBB"/>
    <w:rsid w:val="00E810DE"/>
    <w:rsid w:val="00E81122"/>
    <w:rsid w:val="00EA3A69"/>
    <w:rsid w:val="00EC3996"/>
    <w:rsid w:val="00EC4CAE"/>
    <w:rsid w:val="00F17507"/>
    <w:rsid w:val="00F27997"/>
    <w:rsid w:val="00F368AA"/>
    <w:rsid w:val="00F433C0"/>
    <w:rsid w:val="00F44D4C"/>
    <w:rsid w:val="00F461B2"/>
    <w:rsid w:val="00F47315"/>
    <w:rsid w:val="00F52EF7"/>
    <w:rsid w:val="00FA7903"/>
    <w:rsid w:val="00FB63EF"/>
    <w:rsid w:val="00FC52F2"/>
    <w:rsid w:val="00FC554D"/>
    <w:rsid w:val="00FF682A"/>
    <w:rsid w:val="01762172"/>
    <w:rsid w:val="02660123"/>
    <w:rsid w:val="04073888"/>
    <w:rsid w:val="0462603D"/>
    <w:rsid w:val="0514581B"/>
    <w:rsid w:val="05EF3DCB"/>
    <w:rsid w:val="0646701E"/>
    <w:rsid w:val="06496A05"/>
    <w:rsid w:val="0697573F"/>
    <w:rsid w:val="075A7F3B"/>
    <w:rsid w:val="07785964"/>
    <w:rsid w:val="07F2587D"/>
    <w:rsid w:val="083B266F"/>
    <w:rsid w:val="0841025C"/>
    <w:rsid w:val="092D4F45"/>
    <w:rsid w:val="09C728B1"/>
    <w:rsid w:val="0A307992"/>
    <w:rsid w:val="0A5778C6"/>
    <w:rsid w:val="0AAB579B"/>
    <w:rsid w:val="0C423D04"/>
    <w:rsid w:val="0C830096"/>
    <w:rsid w:val="0CD470E3"/>
    <w:rsid w:val="0E706984"/>
    <w:rsid w:val="0E866AD7"/>
    <w:rsid w:val="0F1F7A23"/>
    <w:rsid w:val="0F575BD7"/>
    <w:rsid w:val="0F606015"/>
    <w:rsid w:val="10472848"/>
    <w:rsid w:val="109D0F3D"/>
    <w:rsid w:val="10B27FF1"/>
    <w:rsid w:val="10EF648C"/>
    <w:rsid w:val="1113130F"/>
    <w:rsid w:val="11703578"/>
    <w:rsid w:val="11F74E4B"/>
    <w:rsid w:val="120B3DB8"/>
    <w:rsid w:val="12721CE8"/>
    <w:rsid w:val="12D84F33"/>
    <w:rsid w:val="134F1ABF"/>
    <w:rsid w:val="13AA72B6"/>
    <w:rsid w:val="14737C02"/>
    <w:rsid w:val="15511149"/>
    <w:rsid w:val="166067AD"/>
    <w:rsid w:val="16C719DA"/>
    <w:rsid w:val="178C15C2"/>
    <w:rsid w:val="17BB5948"/>
    <w:rsid w:val="182F4F1A"/>
    <w:rsid w:val="185729A4"/>
    <w:rsid w:val="18B01BA4"/>
    <w:rsid w:val="192625F4"/>
    <w:rsid w:val="1935584A"/>
    <w:rsid w:val="1A2D5CFF"/>
    <w:rsid w:val="1A5B2009"/>
    <w:rsid w:val="1AE636D9"/>
    <w:rsid w:val="1AF030ED"/>
    <w:rsid w:val="1BA96155"/>
    <w:rsid w:val="1C05794E"/>
    <w:rsid w:val="1C330EC3"/>
    <w:rsid w:val="1D07608C"/>
    <w:rsid w:val="1E74273F"/>
    <w:rsid w:val="1F19589F"/>
    <w:rsid w:val="1F3F01A6"/>
    <w:rsid w:val="1F8960A5"/>
    <w:rsid w:val="1F9E4092"/>
    <w:rsid w:val="1FB04E94"/>
    <w:rsid w:val="1FC1398A"/>
    <w:rsid w:val="202D358F"/>
    <w:rsid w:val="20E06C47"/>
    <w:rsid w:val="227E122C"/>
    <w:rsid w:val="22F334A9"/>
    <w:rsid w:val="23975FCA"/>
    <w:rsid w:val="23B56FB0"/>
    <w:rsid w:val="240149AA"/>
    <w:rsid w:val="25173474"/>
    <w:rsid w:val="252C08A3"/>
    <w:rsid w:val="259C19D4"/>
    <w:rsid w:val="25A74378"/>
    <w:rsid w:val="25FD58B6"/>
    <w:rsid w:val="266F77B8"/>
    <w:rsid w:val="26C678F3"/>
    <w:rsid w:val="27207D9D"/>
    <w:rsid w:val="277D12C9"/>
    <w:rsid w:val="27AF0BE9"/>
    <w:rsid w:val="28140220"/>
    <w:rsid w:val="288A59EA"/>
    <w:rsid w:val="28F20910"/>
    <w:rsid w:val="28F512A4"/>
    <w:rsid w:val="29FD449C"/>
    <w:rsid w:val="2A070F58"/>
    <w:rsid w:val="2A7C3B96"/>
    <w:rsid w:val="2B136138"/>
    <w:rsid w:val="2B443971"/>
    <w:rsid w:val="2C810DC1"/>
    <w:rsid w:val="2D1B5F8D"/>
    <w:rsid w:val="2D914A51"/>
    <w:rsid w:val="2D976F1F"/>
    <w:rsid w:val="2E696523"/>
    <w:rsid w:val="2F28089F"/>
    <w:rsid w:val="2F99354E"/>
    <w:rsid w:val="2FDF726C"/>
    <w:rsid w:val="303C35E3"/>
    <w:rsid w:val="30441280"/>
    <w:rsid w:val="30835ABD"/>
    <w:rsid w:val="30F8221A"/>
    <w:rsid w:val="31080E7C"/>
    <w:rsid w:val="3184350E"/>
    <w:rsid w:val="32521563"/>
    <w:rsid w:val="32654619"/>
    <w:rsid w:val="3340670E"/>
    <w:rsid w:val="33AE1863"/>
    <w:rsid w:val="33DC48BC"/>
    <w:rsid w:val="33E86399"/>
    <w:rsid w:val="34946077"/>
    <w:rsid w:val="34F810D0"/>
    <w:rsid w:val="357B3733"/>
    <w:rsid w:val="36320362"/>
    <w:rsid w:val="37F26A78"/>
    <w:rsid w:val="384D0EE1"/>
    <w:rsid w:val="390E0E32"/>
    <w:rsid w:val="391C53BC"/>
    <w:rsid w:val="39805018"/>
    <w:rsid w:val="39955D57"/>
    <w:rsid w:val="39D6389B"/>
    <w:rsid w:val="3A456045"/>
    <w:rsid w:val="3A762F47"/>
    <w:rsid w:val="3BD74BE4"/>
    <w:rsid w:val="3CD13283"/>
    <w:rsid w:val="3D0C6698"/>
    <w:rsid w:val="3E745582"/>
    <w:rsid w:val="3EBB63F1"/>
    <w:rsid w:val="3F8869C7"/>
    <w:rsid w:val="401A7630"/>
    <w:rsid w:val="4151537F"/>
    <w:rsid w:val="43377418"/>
    <w:rsid w:val="43BE658B"/>
    <w:rsid w:val="44E1574C"/>
    <w:rsid w:val="44F30AB8"/>
    <w:rsid w:val="456135E5"/>
    <w:rsid w:val="468E57C1"/>
    <w:rsid w:val="47F1746B"/>
    <w:rsid w:val="482E718E"/>
    <w:rsid w:val="48420F1F"/>
    <w:rsid w:val="4867564B"/>
    <w:rsid w:val="48B53F9C"/>
    <w:rsid w:val="495C41CC"/>
    <w:rsid w:val="4A1C3CA2"/>
    <w:rsid w:val="4B6C408B"/>
    <w:rsid w:val="4D1A0293"/>
    <w:rsid w:val="4D221BC0"/>
    <w:rsid w:val="4D7748B0"/>
    <w:rsid w:val="4F1F270A"/>
    <w:rsid w:val="4F3135DD"/>
    <w:rsid w:val="4F584B1C"/>
    <w:rsid w:val="50022DC7"/>
    <w:rsid w:val="505B0958"/>
    <w:rsid w:val="50BD5547"/>
    <w:rsid w:val="51002C27"/>
    <w:rsid w:val="518D0570"/>
    <w:rsid w:val="51B82E8C"/>
    <w:rsid w:val="527E2E29"/>
    <w:rsid w:val="53016D1D"/>
    <w:rsid w:val="532A191D"/>
    <w:rsid w:val="532F4A04"/>
    <w:rsid w:val="534268B4"/>
    <w:rsid w:val="560B6CEF"/>
    <w:rsid w:val="5665084A"/>
    <w:rsid w:val="56B73AB1"/>
    <w:rsid w:val="56B77D23"/>
    <w:rsid w:val="56F22F94"/>
    <w:rsid w:val="57363431"/>
    <w:rsid w:val="57F0579E"/>
    <w:rsid w:val="588161ED"/>
    <w:rsid w:val="58D0735F"/>
    <w:rsid w:val="59076811"/>
    <w:rsid w:val="59C31E74"/>
    <w:rsid w:val="5A636C47"/>
    <w:rsid w:val="5A6C26A3"/>
    <w:rsid w:val="5B1F4BC3"/>
    <w:rsid w:val="5CB51190"/>
    <w:rsid w:val="5D4C3621"/>
    <w:rsid w:val="5DBE1AE8"/>
    <w:rsid w:val="5DCE5A47"/>
    <w:rsid w:val="5E36509D"/>
    <w:rsid w:val="5ED53A8E"/>
    <w:rsid w:val="5EDB5D5C"/>
    <w:rsid w:val="5F0B2E5A"/>
    <w:rsid w:val="5F3E4984"/>
    <w:rsid w:val="60384183"/>
    <w:rsid w:val="613757E1"/>
    <w:rsid w:val="61472CFA"/>
    <w:rsid w:val="61820B2E"/>
    <w:rsid w:val="628D2846"/>
    <w:rsid w:val="64565B2A"/>
    <w:rsid w:val="648F6AE8"/>
    <w:rsid w:val="656D287E"/>
    <w:rsid w:val="65BC7175"/>
    <w:rsid w:val="66337A29"/>
    <w:rsid w:val="678903DB"/>
    <w:rsid w:val="67CF1B04"/>
    <w:rsid w:val="69035E08"/>
    <w:rsid w:val="69A049BB"/>
    <w:rsid w:val="69E261E5"/>
    <w:rsid w:val="6A592292"/>
    <w:rsid w:val="6AB725D7"/>
    <w:rsid w:val="6C0B5C81"/>
    <w:rsid w:val="6C87212E"/>
    <w:rsid w:val="6D2E789E"/>
    <w:rsid w:val="6DA64DDC"/>
    <w:rsid w:val="6DAA36A8"/>
    <w:rsid w:val="6E244ACC"/>
    <w:rsid w:val="6EB44DD9"/>
    <w:rsid w:val="6ECE0F20"/>
    <w:rsid w:val="6EEC3A69"/>
    <w:rsid w:val="6F22440B"/>
    <w:rsid w:val="6F8219F4"/>
    <w:rsid w:val="6FF603A9"/>
    <w:rsid w:val="701A5722"/>
    <w:rsid w:val="70E25460"/>
    <w:rsid w:val="72005151"/>
    <w:rsid w:val="72D96CB3"/>
    <w:rsid w:val="73BF3F77"/>
    <w:rsid w:val="746F2E7D"/>
    <w:rsid w:val="74707F8F"/>
    <w:rsid w:val="760552DD"/>
    <w:rsid w:val="7631446E"/>
    <w:rsid w:val="76A9204B"/>
    <w:rsid w:val="77030A01"/>
    <w:rsid w:val="777A3C06"/>
    <w:rsid w:val="77843521"/>
    <w:rsid w:val="77973097"/>
    <w:rsid w:val="780941C7"/>
    <w:rsid w:val="783E15FF"/>
    <w:rsid w:val="78A94E66"/>
    <w:rsid w:val="78DD3162"/>
    <w:rsid w:val="78F06CDE"/>
    <w:rsid w:val="78F54267"/>
    <w:rsid w:val="79571BE1"/>
    <w:rsid w:val="7BA50A80"/>
    <w:rsid w:val="7BB50949"/>
    <w:rsid w:val="7C071EE3"/>
    <w:rsid w:val="7D1D536C"/>
    <w:rsid w:val="7D1E2AE4"/>
    <w:rsid w:val="7D6726B7"/>
    <w:rsid w:val="7D760369"/>
    <w:rsid w:val="7D9F4A68"/>
    <w:rsid w:val="7E3C3FAA"/>
    <w:rsid w:val="7E4A0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suppressAutoHyphens/>
      <w:spacing w:before="20" w:after="20"/>
      <w:outlineLvl w:val="1"/>
    </w:pPr>
    <w:rPr>
      <w:rFonts w:ascii="Arial" w:hAnsi="Arial" w:cs="Arial"/>
      <w:sz w:val="18"/>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脚 Char"/>
    <w:link w:val="5"/>
    <w:qFormat/>
    <w:uiPriority w:val="0"/>
    <w:rPr>
      <w:kern w:val="2"/>
      <w:sz w:val="18"/>
      <w:szCs w:val="18"/>
    </w:rPr>
  </w:style>
  <w:style w:type="character" w:customStyle="1" w:styleId="12">
    <w:name w:val="页眉 Char"/>
    <w:link w:val="6"/>
    <w:qFormat/>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character" w:customStyle="1" w:styleId="15">
    <w:name w:val="apple-converted-spac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1020</Words>
  <Characters>5818</Characters>
  <Lines>48</Lines>
  <Paragraphs>13</Paragraphs>
  <TotalTime>251</TotalTime>
  <ScaleCrop>false</ScaleCrop>
  <LinksUpToDate>false</LinksUpToDate>
  <CharactersWithSpaces>6825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2020-11-20T18:45:00Z</dcterms:created>
  <dc:creator>Administrator</dc:creator>
  <cp:lastModifiedBy>孙文</cp:lastModifiedBy>
  <cp:lastPrinted>2015-06-16T05:21:00Z</cp:lastPrinted>
  <dcterms:modified xsi:type="dcterms:W3CDTF">2020-11-23T03:52:46Z</dcterms:modified>
  <dc:title>销售合同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