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ind w:firstLine="0" w:firstLineChars="0"/>
        <w:rPr>
          <w:rFonts w:ascii="仿宋_GB2312"/>
          <w:color w:val="000000"/>
          <w:szCs w:val="28"/>
        </w:rPr>
      </w:pPr>
      <w:bookmarkStart w:id="0" w:name="_Toc472454500"/>
      <w:bookmarkStart w:id="1" w:name="_Toc468785718"/>
      <w:bookmarkStart w:id="281" w:name="_GoBack"/>
      <w:bookmarkEnd w:id="281"/>
      <w:r>
        <w:rPr>
          <w:rFonts w:ascii="宋体" w:hAnsi="宋体" w:cs="宋体"/>
          <w:kern w:val="0"/>
          <w:sz w:val="24"/>
        </w:rPr>
        <w:drawing>
          <wp:inline distT="0" distB="0" distL="114300" distR="114300">
            <wp:extent cx="1828800" cy="590550"/>
            <wp:effectExtent l="0" t="0" r="0" b="0"/>
            <wp:docPr id="2" name="图片 1" descr="国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能logo"/>
                    <pic:cNvPicPr>
                      <a:picLocks noChangeAspect="1"/>
                    </pic:cNvPicPr>
                  </pic:nvPicPr>
                  <pic:blipFill>
                    <a:blip r:embed="rId13"/>
                    <a:stretch>
                      <a:fillRect/>
                    </a:stretch>
                  </pic:blipFill>
                  <pic:spPr>
                    <a:xfrm>
                      <a:off x="0" y="0"/>
                      <a:ext cx="1828800" cy="590550"/>
                    </a:xfrm>
                    <a:prstGeom prst="rect">
                      <a:avLst/>
                    </a:prstGeom>
                    <a:noFill/>
                    <a:ln>
                      <a:noFill/>
                    </a:ln>
                  </pic:spPr>
                </pic:pic>
              </a:graphicData>
            </a:graphic>
          </wp:inline>
        </w:drawing>
      </w:r>
    </w:p>
    <w:bookmarkEnd w:id="0"/>
    <w:bookmarkEnd w:id="1"/>
    <w:p>
      <w:pPr>
        <w:ind w:firstLine="881"/>
        <w:rPr>
          <w:rFonts w:ascii="华文细黑" w:hAnsi="华文细黑" w:eastAsia="华文细黑"/>
          <w:b/>
          <w:bCs/>
          <w:color w:val="000000"/>
          <w:sz w:val="44"/>
          <w:szCs w:val="24"/>
        </w:rPr>
      </w:pPr>
      <w:bookmarkStart w:id="2" w:name="_Toc3523"/>
      <w:bookmarkStart w:id="3" w:name="_Toc25984"/>
      <w:bookmarkStart w:id="4" w:name="_Toc11187"/>
      <w:bookmarkStart w:id="5" w:name="_Toc10193"/>
      <w:bookmarkStart w:id="6" w:name="_Toc7366"/>
      <w:bookmarkStart w:id="7" w:name="_Toc8818"/>
      <w:bookmarkStart w:id="8" w:name="_Toc25116"/>
      <w:bookmarkStart w:id="9" w:name="_Toc29739"/>
      <w:bookmarkStart w:id="10" w:name="_Toc15074"/>
    </w:p>
    <w:p>
      <w:pPr>
        <w:widowControl/>
        <w:tabs>
          <w:tab w:val="center" w:pos="4649"/>
          <w:tab w:val="right" w:pos="9299"/>
        </w:tabs>
        <w:adjustRightInd w:val="0"/>
        <w:snapToGrid w:val="0"/>
        <w:spacing w:before="60" w:after="200"/>
        <w:ind w:firstLine="880"/>
        <w:jc w:val="center"/>
        <w:rPr>
          <w:rFonts w:ascii="黑体" w:hAnsi="黑体" w:eastAsia="黑体"/>
          <w:color w:val="000000"/>
          <w:sz w:val="44"/>
          <w:szCs w:val="44"/>
        </w:rPr>
      </w:pPr>
    </w:p>
    <w:p>
      <w:pPr>
        <w:pStyle w:val="9"/>
        <w:widowControl/>
        <w:tabs>
          <w:tab w:val="center" w:pos="4649"/>
          <w:tab w:val="right" w:pos="9299"/>
        </w:tabs>
        <w:adjustRightInd w:val="0"/>
        <w:spacing w:after="200" w:line="360" w:lineRule="auto"/>
        <w:jc w:val="center"/>
        <w:rPr>
          <w:rFonts w:ascii="黑体" w:hAnsi="黑体" w:eastAsia="黑体"/>
          <w:sz w:val="48"/>
          <w:szCs w:val="48"/>
        </w:rPr>
      </w:pPr>
      <w:bookmarkStart w:id="11" w:name="_Toc11151"/>
      <w:r>
        <w:rPr>
          <w:rFonts w:hint="eastAsia" w:ascii="黑体" w:hAnsi="黑体" w:eastAsia="黑体"/>
          <w:sz w:val="48"/>
          <w:szCs w:val="48"/>
        </w:rPr>
        <w:t>国电建投内蒙古能源有限公司布连电厂塔式起重机</w:t>
      </w:r>
    </w:p>
    <w:p>
      <w:pPr>
        <w:pStyle w:val="9"/>
        <w:widowControl/>
        <w:tabs>
          <w:tab w:val="center" w:pos="4649"/>
          <w:tab w:val="right" w:pos="9299"/>
        </w:tabs>
        <w:adjustRightInd w:val="0"/>
        <w:spacing w:after="200" w:line="360" w:lineRule="auto"/>
        <w:jc w:val="center"/>
        <w:rPr>
          <w:rFonts w:ascii="黑体" w:hAnsi="黑体" w:eastAsia="黑体"/>
          <w:color w:val="000000"/>
          <w:kern w:val="0"/>
          <w:sz w:val="52"/>
          <w:szCs w:val="52"/>
        </w:rPr>
      </w:pPr>
    </w:p>
    <w:p>
      <w:pPr>
        <w:pStyle w:val="9"/>
        <w:widowControl/>
        <w:tabs>
          <w:tab w:val="center" w:pos="4649"/>
          <w:tab w:val="right" w:pos="9299"/>
        </w:tabs>
        <w:adjustRightInd w:val="0"/>
        <w:spacing w:after="200" w:line="360" w:lineRule="auto"/>
        <w:jc w:val="center"/>
        <w:rPr>
          <w:rFonts w:ascii="黑体" w:hAnsi="黑体" w:eastAsia="黑体"/>
          <w:color w:val="000000"/>
          <w:kern w:val="0"/>
          <w:sz w:val="52"/>
          <w:szCs w:val="52"/>
        </w:rPr>
      </w:pPr>
      <w:r>
        <w:rPr>
          <w:rFonts w:hint="eastAsia" w:ascii="黑体" w:hAnsi="黑体" w:eastAsia="黑体"/>
          <w:color w:val="000000"/>
          <w:kern w:val="0"/>
          <w:sz w:val="52"/>
          <w:szCs w:val="52"/>
        </w:rPr>
        <w:t>采购文件</w:t>
      </w:r>
    </w:p>
    <w:p>
      <w:pPr>
        <w:widowControl/>
        <w:tabs>
          <w:tab w:val="center" w:pos="4649"/>
          <w:tab w:val="right" w:pos="9299"/>
        </w:tabs>
        <w:adjustRightInd w:val="0"/>
        <w:snapToGrid w:val="0"/>
        <w:ind w:firstLine="1040"/>
        <w:jc w:val="center"/>
        <w:rPr>
          <w:rFonts w:ascii="黑体" w:hAnsi="黑体" w:eastAsia="黑体"/>
          <w:color w:val="000000"/>
          <w:kern w:val="0"/>
          <w:sz w:val="52"/>
          <w:szCs w:val="52"/>
        </w:rPr>
      </w:pPr>
    </w:p>
    <w:p>
      <w:pPr>
        <w:widowControl/>
        <w:tabs>
          <w:tab w:val="center" w:pos="4649"/>
          <w:tab w:val="right" w:pos="9299"/>
        </w:tabs>
        <w:adjustRightInd w:val="0"/>
        <w:snapToGrid w:val="0"/>
        <w:ind w:firstLine="1040"/>
        <w:jc w:val="center"/>
        <w:rPr>
          <w:rFonts w:ascii="黑体" w:hAnsi="黑体" w:eastAsia="黑体"/>
          <w:color w:val="000000"/>
          <w:kern w:val="0"/>
          <w:sz w:val="52"/>
          <w:szCs w:val="52"/>
        </w:rPr>
      </w:pPr>
    </w:p>
    <w:p>
      <w:pPr>
        <w:widowControl/>
        <w:tabs>
          <w:tab w:val="center" w:pos="4649"/>
          <w:tab w:val="right" w:pos="9299"/>
        </w:tabs>
        <w:adjustRightInd w:val="0"/>
        <w:snapToGrid w:val="0"/>
        <w:spacing w:before="60" w:after="200"/>
        <w:ind w:firstLine="0" w:firstLineChars="0"/>
        <w:jc w:val="center"/>
        <w:rPr>
          <w:rFonts w:ascii="黑体" w:hAnsi="宋体" w:eastAsia="黑体"/>
          <w:color w:val="000000"/>
          <w:kern w:val="0"/>
          <w:sz w:val="44"/>
          <w:szCs w:val="44"/>
        </w:rPr>
      </w:pPr>
      <w:r>
        <w:rPr>
          <w:rFonts w:hint="eastAsia" w:ascii="黑体" w:hAnsi="宋体" w:eastAsia="黑体"/>
          <w:color w:val="000000"/>
          <w:kern w:val="0"/>
          <w:sz w:val="44"/>
          <w:szCs w:val="44"/>
        </w:rPr>
        <w:t>第二卷  技术部分</w:t>
      </w:r>
    </w:p>
    <w:p>
      <w:pPr>
        <w:widowControl/>
        <w:tabs>
          <w:tab w:val="center" w:pos="4649"/>
          <w:tab w:val="right" w:pos="9299"/>
        </w:tabs>
        <w:adjustRightInd w:val="0"/>
        <w:snapToGrid w:val="0"/>
        <w:spacing w:before="60" w:after="200"/>
        <w:ind w:firstLine="0" w:firstLineChars="0"/>
        <w:rPr>
          <w:rFonts w:ascii="黑体" w:hAnsi="宋体" w:eastAsia="黑体"/>
          <w:color w:val="000000"/>
          <w:kern w:val="0"/>
          <w:sz w:val="44"/>
          <w:szCs w:val="44"/>
        </w:rPr>
      </w:pPr>
    </w:p>
    <w:p>
      <w:pPr>
        <w:pStyle w:val="9"/>
        <w:widowControl/>
        <w:tabs>
          <w:tab w:val="center" w:pos="4649"/>
          <w:tab w:val="right" w:pos="9299"/>
        </w:tabs>
        <w:adjustRightInd w:val="0"/>
        <w:spacing w:after="200" w:line="360" w:lineRule="auto"/>
        <w:jc w:val="center"/>
        <w:rPr>
          <w:rFonts w:ascii="黑体" w:hAnsi="宋体" w:eastAsia="黑体"/>
          <w:kern w:val="0"/>
          <w:sz w:val="44"/>
          <w:szCs w:val="44"/>
        </w:rPr>
      </w:pPr>
      <w:r>
        <w:rPr>
          <w:rFonts w:hint="eastAsia" w:ascii="黑体" w:hAnsi="宋体" w:eastAsia="黑体"/>
          <w:color w:val="000000"/>
          <w:kern w:val="0"/>
          <w:sz w:val="44"/>
          <w:szCs w:val="44"/>
        </w:rPr>
        <w:t xml:space="preserve">  采购人：</w:t>
      </w:r>
      <w:r>
        <w:rPr>
          <w:rFonts w:hint="eastAsia" w:ascii="黑体" w:hAnsi="宋体" w:eastAsia="黑体"/>
          <w:color w:val="000000"/>
          <w:kern w:val="0"/>
          <w:sz w:val="44"/>
          <w:szCs w:val="44"/>
          <w:lang w:val="zh-CN"/>
        </w:rPr>
        <w:t>国电建投内蒙古能源有限公司</w:t>
      </w:r>
    </w:p>
    <w:p>
      <w:pPr>
        <w:widowControl/>
        <w:tabs>
          <w:tab w:val="center" w:pos="4649"/>
          <w:tab w:val="right" w:pos="9299"/>
        </w:tabs>
        <w:adjustRightInd w:val="0"/>
        <w:snapToGrid w:val="0"/>
        <w:spacing w:before="60" w:after="200"/>
        <w:ind w:left="0" w:leftChars="0" w:firstLine="440" w:firstLineChars="100"/>
        <w:rPr>
          <w:rFonts w:ascii="黑体" w:hAnsi="宋体" w:eastAsia="黑体"/>
          <w:color w:val="000000"/>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r>
        <w:rPr>
          <w:rFonts w:hint="eastAsia" w:ascii="黑体" w:hAnsi="宋体" w:eastAsia="黑体"/>
          <w:kern w:val="0"/>
          <w:sz w:val="44"/>
          <w:szCs w:val="44"/>
        </w:rPr>
        <w:t>采购机构：国电国际经贸有限公司</w:t>
      </w:r>
    </w:p>
    <w:p>
      <w:pPr>
        <w:ind w:firstLine="420"/>
        <w:jc w:val="center"/>
      </w:pPr>
      <w:r>
        <w:rPr>
          <w:rFonts w:ascii="宋体" w:hAnsi="宋体"/>
          <w:sz w:val="21"/>
        </w:rPr>
        <w:t>目录</w:t>
      </w:r>
    </w:p>
    <w:p>
      <w:pPr>
        <w:pStyle w:val="10"/>
        <w:tabs>
          <w:tab w:val="right" w:leader="dot" w:pos="8306"/>
        </w:tabs>
        <w:rPr>
          <w:sz w:val="21"/>
          <w:szCs w:val="21"/>
        </w:rPr>
      </w:pPr>
      <w:r>
        <w:fldChar w:fldCharType="begin"/>
      </w:r>
      <w:r>
        <w:instrText xml:space="preserve"> HYPERLINK \l "_Toc21191" </w:instrText>
      </w:r>
      <w:r>
        <w:fldChar w:fldCharType="separate"/>
      </w:r>
      <w:r>
        <w:rPr>
          <w:rFonts w:hint="eastAsia" w:ascii="黑体" w:hAnsi="黑体" w:eastAsia="黑体" w:cs="黑体"/>
          <w:b/>
          <w:bCs/>
          <w:sz w:val="21"/>
          <w:szCs w:val="21"/>
        </w:rPr>
        <w:t>报价人须知</w:t>
      </w:r>
      <w:r>
        <w:rPr>
          <w:b/>
          <w:bCs/>
          <w:sz w:val="21"/>
          <w:szCs w:val="21"/>
        </w:rPr>
        <w:tab/>
      </w:r>
      <w:r>
        <w:rPr>
          <w:b/>
          <w:bCs/>
          <w:sz w:val="21"/>
          <w:szCs w:val="21"/>
        </w:rPr>
        <w:t>1</w:t>
      </w:r>
      <w:r>
        <w:rPr>
          <w:b/>
          <w:bCs/>
          <w:sz w:val="21"/>
          <w:szCs w:val="21"/>
        </w:rPr>
        <w:fldChar w:fldCharType="end"/>
      </w:r>
    </w:p>
    <w:p>
      <w:pPr>
        <w:pStyle w:val="10"/>
        <w:tabs>
          <w:tab w:val="right" w:leader="dot" w:pos="8306"/>
        </w:tabs>
        <w:rPr>
          <w:sz w:val="21"/>
          <w:szCs w:val="21"/>
        </w:rPr>
      </w:pPr>
      <w:r>
        <w:fldChar w:fldCharType="begin"/>
      </w:r>
      <w:r>
        <w:instrText xml:space="preserve"> HYPERLINK \l "_Toc22875" </w:instrText>
      </w:r>
      <w:r>
        <w:fldChar w:fldCharType="separate"/>
      </w:r>
      <w:r>
        <w:rPr>
          <w:rFonts w:ascii="黑体" w:hAnsi="黑体" w:eastAsia="黑体" w:cs="黑体"/>
          <w:b/>
          <w:bCs/>
          <w:sz w:val="21"/>
          <w:szCs w:val="21"/>
        </w:rPr>
        <w:t xml:space="preserve">第一章 </w:t>
      </w:r>
      <w:r>
        <w:rPr>
          <w:rFonts w:hint="eastAsia" w:ascii="黑体" w:hAnsi="黑体" w:eastAsia="黑体" w:cs="黑体"/>
          <w:b/>
          <w:bCs/>
          <w:sz w:val="21"/>
          <w:szCs w:val="21"/>
        </w:rPr>
        <w:t>总体要求</w:t>
      </w:r>
      <w:r>
        <w:rPr>
          <w:b/>
          <w:bCs/>
          <w:sz w:val="21"/>
          <w:szCs w:val="21"/>
        </w:rPr>
        <w:tab/>
      </w:r>
      <w:r>
        <w:rPr>
          <w:b/>
          <w:bCs/>
          <w:sz w:val="21"/>
          <w:szCs w:val="21"/>
        </w:rPr>
        <w:t>2</w:t>
      </w:r>
      <w:r>
        <w:rPr>
          <w:b/>
          <w:bCs/>
          <w:sz w:val="21"/>
          <w:szCs w:val="21"/>
        </w:rPr>
        <w:fldChar w:fldCharType="end"/>
      </w:r>
    </w:p>
    <w:p>
      <w:pPr>
        <w:pStyle w:val="10"/>
        <w:tabs>
          <w:tab w:val="right" w:leader="dot" w:pos="8306"/>
        </w:tabs>
        <w:rPr>
          <w:sz w:val="21"/>
          <w:szCs w:val="21"/>
        </w:rPr>
      </w:pPr>
      <w:r>
        <w:fldChar w:fldCharType="begin"/>
      </w:r>
      <w:r>
        <w:instrText xml:space="preserve"> HYPERLINK \l "_Toc8580" </w:instrText>
      </w:r>
      <w:r>
        <w:fldChar w:fldCharType="separate"/>
      </w:r>
      <w:r>
        <w:rPr>
          <w:rFonts w:ascii="黑体" w:hAnsi="黑体" w:eastAsia="黑体" w:cs="黑体"/>
          <w:b/>
          <w:bCs/>
          <w:sz w:val="21"/>
          <w:szCs w:val="21"/>
        </w:rPr>
        <w:t xml:space="preserve">第二章 </w:t>
      </w:r>
      <w:r>
        <w:rPr>
          <w:rFonts w:hint="eastAsia" w:ascii="黑体" w:hAnsi="黑体" w:eastAsia="黑体" w:cs="黑体"/>
          <w:b/>
          <w:bCs/>
          <w:sz w:val="21"/>
          <w:szCs w:val="21"/>
        </w:rPr>
        <w:t>项目概况</w:t>
      </w:r>
      <w:r>
        <w:rPr>
          <w:b/>
          <w:bCs/>
          <w:sz w:val="21"/>
          <w:szCs w:val="21"/>
        </w:rPr>
        <w:tab/>
      </w:r>
      <w:r>
        <w:rPr>
          <w:b/>
          <w:bCs/>
          <w:sz w:val="21"/>
          <w:szCs w:val="21"/>
        </w:rPr>
        <w:t>3</w:t>
      </w:r>
      <w:r>
        <w:rPr>
          <w:b/>
          <w:bCs/>
          <w:sz w:val="21"/>
          <w:szCs w:val="21"/>
        </w:rPr>
        <w:fldChar w:fldCharType="end"/>
      </w:r>
    </w:p>
    <w:p>
      <w:pPr>
        <w:pStyle w:val="11"/>
        <w:tabs>
          <w:tab w:val="right" w:leader="dot" w:pos="8306"/>
        </w:tabs>
        <w:ind w:left="560"/>
        <w:rPr>
          <w:sz w:val="21"/>
          <w:szCs w:val="21"/>
        </w:rPr>
      </w:pPr>
      <w:r>
        <w:fldChar w:fldCharType="begin"/>
      </w:r>
      <w:r>
        <w:instrText xml:space="preserve"> HYPERLINK \l "_Toc4367" </w:instrText>
      </w:r>
      <w:r>
        <w:fldChar w:fldCharType="separate"/>
      </w:r>
      <w:r>
        <w:rPr>
          <w:rFonts w:hint="eastAsia" w:ascii="黑体" w:hAnsi="黑体" w:eastAsia="黑体" w:cs="黑体"/>
          <w:sz w:val="21"/>
          <w:szCs w:val="21"/>
        </w:rPr>
        <w:t>2.1项目简介</w:t>
      </w:r>
      <w:r>
        <w:rPr>
          <w:sz w:val="21"/>
          <w:szCs w:val="21"/>
        </w:rPr>
        <w:tab/>
      </w:r>
      <w:r>
        <w:rPr>
          <w:sz w:val="21"/>
          <w:szCs w:val="21"/>
        </w:rPr>
        <w:t>3</w:t>
      </w:r>
      <w:r>
        <w:rPr>
          <w:sz w:val="21"/>
          <w:szCs w:val="21"/>
        </w:rPr>
        <w:fldChar w:fldCharType="end"/>
      </w:r>
    </w:p>
    <w:p>
      <w:pPr>
        <w:pStyle w:val="10"/>
        <w:tabs>
          <w:tab w:val="right" w:leader="dot" w:pos="8306"/>
        </w:tabs>
        <w:rPr>
          <w:sz w:val="21"/>
          <w:szCs w:val="21"/>
        </w:rPr>
      </w:pPr>
      <w:r>
        <w:fldChar w:fldCharType="begin"/>
      </w:r>
      <w:r>
        <w:instrText xml:space="preserve"> HYPERLINK \l "_Toc16182" </w:instrText>
      </w:r>
      <w:r>
        <w:fldChar w:fldCharType="separate"/>
      </w:r>
      <w:r>
        <w:rPr>
          <w:rFonts w:ascii="黑体" w:hAnsi="黑体" w:eastAsia="黑体" w:cs="黑体"/>
          <w:b/>
          <w:bCs/>
          <w:sz w:val="21"/>
          <w:szCs w:val="21"/>
        </w:rPr>
        <w:t xml:space="preserve">第三章 </w:t>
      </w:r>
      <w:r>
        <w:rPr>
          <w:rFonts w:hint="eastAsia" w:ascii="黑体" w:hAnsi="黑体" w:eastAsia="黑体" w:cs="黑体"/>
          <w:b/>
          <w:bCs/>
          <w:sz w:val="21"/>
          <w:szCs w:val="21"/>
        </w:rPr>
        <w:t>采购范围</w:t>
      </w:r>
      <w:r>
        <w:rPr>
          <w:b/>
          <w:bCs/>
          <w:sz w:val="21"/>
          <w:szCs w:val="21"/>
        </w:rPr>
        <w:tab/>
      </w:r>
      <w:r>
        <w:rPr>
          <w:b/>
          <w:bCs/>
          <w:sz w:val="21"/>
          <w:szCs w:val="21"/>
        </w:rPr>
        <w:t>4</w:t>
      </w:r>
      <w:r>
        <w:rPr>
          <w:b/>
          <w:bCs/>
          <w:sz w:val="21"/>
          <w:szCs w:val="21"/>
        </w:rPr>
        <w:fldChar w:fldCharType="end"/>
      </w:r>
    </w:p>
    <w:p>
      <w:pPr>
        <w:pStyle w:val="11"/>
        <w:tabs>
          <w:tab w:val="right" w:leader="dot" w:pos="8306"/>
        </w:tabs>
        <w:ind w:left="560"/>
        <w:rPr>
          <w:sz w:val="21"/>
          <w:szCs w:val="21"/>
        </w:rPr>
      </w:pPr>
      <w:r>
        <w:fldChar w:fldCharType="begin"/>
      </w:r>
      <w:r>
        <w:instrText xml:space="preserve"> HYPERLINK \l "_Toc11280" </w:instrText>
      </w:r>
      <w:r>
        <w:fldChar w:fldCharType="separate"/>
      </w:r>
      <w:r>
        <w:rPr>
          <w:rFonts w:hint="eastAsia" w:ascii="黑体" w:hAnsi="黑体" w:eastAsia="黑体" w:cs="黑体"/>
          <w:sz w:val="21"/>
          <w:szCs w:val="21"/>
        </w:rPr>
        <w:t>3.1 供货范围</w:t>
      </w:r>
      <w:r>
        <w:rPr>
          <w:sz w:val="21"/>
          <w:szCs w:val="21"/>
        </w:rPr>
        <w:tab/>
      </w:r>
      <w:r>
        <w:rPr>
          <w:sz w:val="21"/>
          <w:szCs w:val="21"/>
        </w:rPr>
        <w:t>4</w:t>
      </w:r>
      <w:r>
        <w:rPr>
          <w:sz w:val="21"/>
          <w:szCs w:val="21"/>
        </w:rPr>
        <w:fldChar w:fldCharType="end"/>
      </w:r>
    </w:p>
    <w:p>
      <w:pPr>
        <w:pStyle w:val="11"/>
        <w:tabs>
          <w:tab w:val="right" w:leader="dot" w:pos="8306"/>
        </w:tabs>
        <w:ind w:left="560"/>
        <w:rPr>
          <w:sz w:val="21"/>
          <w:szCs w:val="21"/>
        </w:rPr>
      </w:pPr>
      <w:r>
        <w:fldChar w:fldCharType="begin"/>
      </w:r>
      <w:r>
        <w:instrText xml:space="preserve"> HYPERLINK \l "_Toc14927" </w:instrText>
      </w:r>
      <w:r>
        <w:fldChar w:fldCharType="separate"/>
      </w:r>
      <w:r>
        <w:rPr>
          <w:rFonts w:hint="eastAsia" w:ascii="黑体" w:hAnsi="黑体" w:eastAsia="黑体" w:cs="黑体"/>
          <w:sz w:val="21"/>
          <w:szCs w:val="21"/>
        </w:rPr>
        <w:t>3.2交货时间及地点</w:t>
      </w:r>
      <w:r>
        <w:rPr>
          <w:sz w:val="21"/>
          <w:szCs w:val="21"/>
        </w:rPr>
        <w:tab/>
      </w:r>
      <w:r>
        <w:rPr>
          <w:sz w:val="21"/>
          <w:szCs w:val="21"/>
        </w:rPr>
        <w:t>4</w:t>
      </w:r>
      <w:r>
        <w:rPr>
          <w:sz w:val="21"/>
          <w:szCs w:val="21"/>
        </w:rPr>
        <w:fldChar w:fldCharType="end"/>
      </w:r>
    </w:p>
    <w:p>
      <w:pPr>
        <w:pStyle w:val="10"/>
        <w:tabs>
          <w:tab w:val="right" w:leader="dot" w:pos="8306"/>
        </w:tabs>
        <w:rPr>
          <w:sz w:val="21"/>
          <w:szCs w:val="21"/>
        </w:rPr>
      </w:pPr>
      <w:r>
        <w:fldChar w:fldCharType="begin"/>
      </w:r>
      <w:r>
        <w:instrText xml:space="preserve"> HYPERLINK \l "_Toc2130" </w:instrText>
      </w:r>
      <w:r>
        <w:fldChar w:fldCharType="separate"/>
      </w:r>
      <w:r>
        <w:rPr>
          <w:rFonts w:ascii="黑体" w:hAnsi="黑体" w:eastAsia="黑体" w:cs="黑体"/>
          <w:b/>
          <w:bCs/>
          <w:sz w:val="21"/>
          <w:szCs w:val="21"/>
        </w:rPr>
        <w:t xml:space="preserve">第四章 </w:t>
      </w:r>
      <w:r>
        <w:rPr>
          <w:rFonts w:hint="eastAsia" w:ascii="黑体" w:hAnsi="黑体" w:eastAsia="黑体" w:cs="黑体"/>
          <w:b/>
          <w:bCs/>
          <w:sz w:val="21"/>
          <w:szCs w:val="21"/>
        </w:rPr>
        <w:t>标准与规范</w:t>
      </w:r>
      <w:r>
        <w:rPr>
          <w:b/>
          <w:bCs/>
          <w:sz w:val="21"/>
          <w:szCs w:val="21"/>
        </w:rPr>
        <w:tab/>
      </w:r>
      <w:r>
        <w:rPr>
          <w:b/>
          <w:bCs/>
          <w:sz w:val="21"/>
          <w:szCs w:val="21"/>
        </w:rPr>
        <w:t>6</w:t>
      </w:r>
      <w:r>
        <w:rPr>
          <w:b/>
          <w:bCs/>
          <w:sz w:val="21"/>
          <w:szCs w:val="21"/>
        </w:rPr>
        <w:fldChar w:fldCharType="end"/>
      </w:r>
    </w:p>
    <w:p>
      <w:pPr>
        <w:pStyle w:val="11"/>
        <w:tabs>
          <w:tab w:val="right" w:leader="dot" w:pos="8306"/>
        </w:tabs>
        <w:ind w:left="560"/>
        <w:rPr>
          <w:sz w:val="21"/>
          <w:szCs w:val="21"/>
        </w:rPr>
      </w:pPr>
      <w:r>
        <w:fldChar w:fldCharType="begin"/>
      </w:r>
      <w:r>
        <w:instrText xml:space="preserve"> HYPERLINK \l "_Toc32597" </w:instrText>
      </w:r>
      <w:r>
        <w:fldChar w:fldCharType="separate"/>
      </w:r>
      <w:r>
        <w:rPr>
          <w:rFonts w:hint="eastAsia" w:ascii="黑体" w:hAnsi="黑体" w:eastAsia="黑体" w:cs="黑体"/>
          <w:sz w:val="21"/>
          <w:szCs w:val="21"/>
        </w:rPr>
        <w:t>4.1通用部分</w:t>
      </w:r>
      <w:r>
        <w:rPr>
          <w:sz w:val="21"/>
          <w:szCs w:val="21"/>
        </w:rPr>
        <w:tab/>
      </w:r>
      <w:r>
        <w:rPr>
          <w:sz w:val="21"/>
          <w:szCs w:val="21"/>
        </w:rPr>
        <w:t>6</w:t>
      </w:r>
      <w:r>
        <w:rPr>
          <w:sz w:val="21"/>
          <w:szCs w:val="21"/>
        </w:rPr>
        <w:fldChar w:fldCharType="end"/>
      </w:r>
    </w:p>
    <w:p>
      <w:pPr>
        <w:pStyle w:val="11"/>
        <w:tabs>
          <w:tab w:val="right" w:leader="dot" w:pos="8306"/>
        </w:tabs>
        <w:ind w:left="560"/>
        <w:rPr>
          <w:sz w:val="21"/>
          <w:szCs w:val="21"/>
        </w:rPr>
      </w:pPr>
      <w:r>
        <w:fldChar w:fldCharType="begin"/>
      </w:r>
      <w:r>
        <w:instrText xml:space="preserve"> HYPERLINK \l "_Toc22012" </w:instrText>
      </w:r>
      <w:r>
        <w:fldChar w:fldCharType="separate"/>
      </w:r>
      <w:r>
        <w:rPr>
          <w:rFonts w:hint="eastAsia" w:ascii="黑体" w:hAnsi="黑体" w:eastAsia="黑体" w:cs="黑体"/>
          <w:sz w:val="21"/>
          <w:szCs w:val="21"/>
        </w:rPr>
        <w:t>4.2专用部分</w:t>
      </w:r>
      <w:r>
        <w:rPr>
          <w:sz w:val="21"/>
          <w:szCs w:val="21"/>
        </w:rPr>
        <w:tab/>
      </w:r>
      <w:r>
        <w:rPr>
          <w:sz w:val="21"/>
          <w:szCs w:val="21"/>
        </w:rPr>
        <w:t>6</w:t>
      </w:r>
      <w:r>
        <w:rPr>
          <w:sz w:val="21"/>
          <w:szCs w:val="21"/>
        </w:rPr>
        <w:fldChar w:fldCharType="end"/>
      </w:r>
    </w:p>
    <w:p>
      <w:pPr>
        <w:pStyle w:val="10"/>
        <w:tabs>
          <w:tab w:val="right" w:leader="dot" w:pos="8306"/>
        </w:tabs>
        <w:rPr>
          <w:sz w:val="21"/>
          <w:szCs w:val="21"/>
        </w:rPr>
      </w:pPr>
      <w:r>
        <w:fldChar w:fldCharType="begin"/>
      </w:r>
      <w:r>
        <w:instrText xml:space="preserve"> HYPERLINK \l "_Toc20966" </w:instrText>
      </w:r>
      <w:r>
        <w:fldChar w:fldCharType="separate"/>
      </w:r>
      <w:r>
        <w:rPr>
          <w:rFonts w:ascii="黑体" w:hAnsi="黑体" w:eastAsia="黑体" w:cs="黑体"/>
          <w:b/>
          <w:bCs/>
          <w:sz w:val="21"/>
          <w:szCs w:val="21"/>
        </w:rPr>
        <w:t xml:space="preserve">第五章 </w:t>
      </w:r>
      <w:r>
        <w:rPr>
          <w:rFonts w:hint="eastAsia" w:ascii="黑体" w:hAnsi="黑体" w:eastAsia="黑体" w:cs="黑体"/>
          <w:b/>
          <w:bCs/>
          <w:sz w:val="21"/>
          <w:szCs w:val="21"/>
        </w:rPr>
        <w:t>技术要求</w:t>
      </w:r>
      <w:r>
        <w:rPr>
          <w:b/>
          <w:bCs/>
          <w:sz w:val="21"/>
          <w:szCs w:val="21"/>
        </w:rPr>
        <w:tab/>
      </w:r>
      <w:r>
        <w:rPr>
          <w:b/>
          <w:bCs/>
          <w:sz w:val="21"/>
          <w:szCs w:val="21"/>
        </w:rPr>
        <w:t>7</w:t>
      </w:r>
      <w:r>
        <w:rPr>
          <w:b/>
          <w:bCs/>
          <w:sz w:val="21"/>
          <w:szCs w:val="21"/>
        </w:rPr>
        <w:fldChar w:fldCharType="end"/>
      </w:r>
    </w:p>
    <w:p>
      <w:pPr>
        <w:pStyle w:val="11"/>
        <w:tabs>
          <w:tab w:val="right" w:leader="dot" w:pos="8306"/>
        </w:tabs>
        <w:ind w:left="560"/>
        <w:rPr>
          <w:sz w:val="21"/>
          <w:szCs w:val="21"/>
        </w:rPr>
      </w:pPr>
      <w:r>
        <w:fldChar w:fldCharType="begin"/>
      </w:r>
      <w:r>
        <w:instrText xml:space="preserve"> HYPERLINK \l "_Toc15872" </w:instrText>
      </w:r>
      <w:r>
        <w:fldChar w:fldCharType="separate"/>
      </w:r>
      <w:r>
        <w:rPr>
          <w:rFonts w:hint="eastAsia" w:ascii="黑体" w:hAnsi="黑体" w:eastAsia="黑体" w:cs="黑体"/>
          <w:sz w:val="21"/>
          <w:szCs w:val="21"/>
        </w:rPr>
        <w:t>5.1性能要求</w:t>
      </w:r>
      <w:r>
        <w:rPr>
          <w:sz w:val="21"/>
          <w:szCs w:val="21"/>
        </w:rPr>
        <w:tab/>
      </w:r>
      <w:r>
        <w:rPr>
          <w:sz w:val="21"/>
          <w:szCs w:val="21"/>
        </w:rPr>
        <w:t>7</w:t>
      </w:r>
      <w:r>
        <w:rPr>
          <w:sz w:val="21"/>
          <w:szCs w:val="21"/>
        </w:rPr>
        <w:fldChar w:fldCharType="end"/>
      </w:r>
    </w:p>
    <w:p>
      <w:pPr>
        <w:pStyle w:val="10"/>
        <w:tabs>
          <w:tab w:val="right" w:leader="dot" w:pos="8306"/>
        </w:tabs>
        <w:rPr>
          <w:sz w:val="21"/>
          <w:szCs w:val="21"/>
        </w:rPr>
      </w:pPr>
      <w:r>
        <w:fldChar w:fldCharType="begin"/>
      </w:r>
      <w:r>
        <w:instrText xml:space="preserve"> HYPERLINK \l "_Toc12910" </w:instrText>
      </w:r>
      <w:r>
        <w:fldChar w:fldCharType="separate"/>
      </w:r>
      <w:r>
        <w:rPr>
          <w:rFonts w:ascii="黑体" w:hAnsi="黑体" w:eastAsia="黑体" w:cs="黑体"/>
          <w:b/>
          <w:bCs/>
          <w:sz w:val="21"/>
          <w:szCs w:val="21"/>
        </w:rPr>
        <w:t xml:space="preserve">第六章 </w:t>
      </w:r>
      <w:r>
        <w:rPr>
          <w:rFonts w:hint="eastAsia" w:ascii="黑体" w:hAnsi="黑体" w:eastAsia="黑体" w:cs="黑体"/>
          <w:b/>
          <w:bCs/>
          <w:sz w:val="21"/>
          <w:szCs w:val="21"/>
        </w:rPr>
        <w:t>交货与验收</w:t>
      </w:r>
      <w:r>
        <w:rPr>
          <w:b/>
          <w:bCs/>
          <w:sz w:val="21"/>
          <w:szCs w:val="21"/>
        </w:rPr>
        <w:tab/>
      </w:r>
      <w:r>
        <w:rPr>
          <w:b/>
          <w:bCs/>
          <w:sz w:val="21"/>
          <w:szCs w:val="21"/>
        </w:rPr>
        <w:t>8</w:t>
      </w:r>
      <w:r>
        <w:rPr>
          <w:b/>
          <w:bCs/>
          <w:sz w:val="21"/>
          <w:szCs w:val="21"/>
        </w:rPr>
        <w:fldChar w:fldCharType="end"/>
      </w:r>
    </w:p>
    <w:p>
      <w:pPr>
        <w:pStyle w:val="11"/>
        <w:tabs>
          <w:tab w:val="right" w:leader="dot" w:pos="8306"/>
        </w:tabs>
        <w:ind w:left="560"/>
        <w:rPr>
          <w:sz w:val="21"/>
          <w:szCs w:val="21"/>
        </w:rPr>
      </w:pPr>
      <w:r>
        <w:fldChar w:fldCharType="begin"/>
      </w:r>
      <w:r>
        <w:instrText xml:space="preserve"> HYPERLINK \l "_Toc10295" </w:instrText>
      </w:r>
      <w:r>
        <w:fldChar w:fldCharType="separate"/>
      </w:r>
      <w:r>
        <w:rPr>
          <w:rFonts w:hint="eastAsia" w:ascii="黑体" w:hAnsi="黑体" w:eastAsia="黑体" w:cs="黑体"/>
          <w:sz w:val="21"/>
          <w:szCs w:val="21"/>
        </w:rPr>
        <w:t>6.1包装和发运</w:t>
      </w:r>
      <w:r>
        <w:rPr>
          <w:sz w:val="21"/>
          <w:szCs w:val="21"/>
        </w:rPr>
        <w:tab/>
      </w:r>
      <w:r>
        <w:rPr>
          <w:sz w:val="21"/>
          <w:szCs w:val="21"/>
        </w:rPr>
        <w:t>8</w:t>
      </w:r>
      <w:r>
        <w:rPr>
          <w:sz w:val="21"/>
          <w:szCs w:val="21"/>
        </w:rPr>
        <w:fldChar w:fldCharType="end"/>
      </w:r>
    </w:p>
    <w:p>
      <w:pPr>
        <w:pStyle w:val="11"/>
        <w:tabs>
          <w:tab w:val="right" w:leader="dot" w:pos="8306"/>
        </w:tabs>
        <w:ind w:left="560"/>
        <w:rPr>
          <w:sz w:val="21"/>
          <w:szCs w:val="21"/>
        </w:rPr>
      </w:pPr>
      <w:r>
        <w:fldChar w:fldCharType="begin"/>
      </w:r>
      <w:r>
        <w:instrText xml:space="preserve"> HYPERLINK \l "_Toc31871" </w:instrText>
      </w:r>
      <w:r>
        <w:fldChar w:fldCharType="separate"/>
      </w:r>
      <w:r>
        <w:rPr>
          <w:rFonts w:hint="eastAsia" w:ascii="黑体" w:hAnsi="黑体" w:eastAsia="黑体" w:cs="黑体"/>
          <w:sz w:val="21"/>
          <w:szCs w:val="21"/>
        </w:rPr>
        <w:t>6.2交货和验收</w:t>
      </w:r>
      <w:r>
        <w:rPr>
          <w:sz w:val="21"/>
          <w:szCs w:val="21"/>
        </w:rPr>
        <w:tab/>
      </w:r>
      <w:r>
        <w:rPr>
          <w:sz w:val="21"/>
          <w:szCs w:val="21"/>
        </w:rPr>
        <w:t>8</w:t>
      </w:r>
      <w:r>
        <w:rPr>
          <w:sz w:val="21"/>
          <w:szCs w:val="21"/>
        </w:rPr>
        <w:fldChar w:fldCharType="end"/>
      </w:r>
    </w:p>
    <w:p>
      <w:pPr>
        <w:pStyle w:val="10"/>
        <w:tabs>
          <w:tab w:val="right" w:leader="dot" w:pos="8306"/>
        </w:tabs>
        <w:rPr>
          <w:sz w:val="21"/>
          <w:szCs w:val="21"/>
        </w:rPr>
      </w:pPr>
      <w:r>
        <w:fldChar w:fldCharType="begin"/>
      </w:r>
      <w:r>
        <w:instrText xml:space="preserve"> HYPERLINK \l "_Toc30321" </w:instrText>
      </w:r>
      <w:r>
        <w:fldChar w:fldCharType="separate"/>
      </w:r>
      <w:r>
        <w:rPr>
          <w:rFonts w:ascii="黑体" w:hAnsi="黑体" w:eastAsia="黑体" w:cs="黑体"/>
          <w:b/>
          <w:bCs/>
          <w:sz w:val="21"/>
          <w:szCs w:val="21"/>
        </w:rPr>
        <w:t xml:space="preserve">第七章 </w:t>
      </w:r>
      <w:r>
        <w:rPr>
          <w:rFonts w:hint="eastAsia" w:ascii="黑体" w:hAnsi="黑体" w:eastAsia="黑体" w:cs="黑体"/>
          <w:b/>
          <w:bCs/>
          <w:sz w:val="21"/>
          <w:szCs w:val="21"/>
        </w:rPr>
        <w:t>售后与服务</w:t>
      </w:r>
      <w:r>
        <w:rPr>
          <w:b/>
          <w:bCs/>
          <w:sz w:val="21"/>
          <w:szCs w:val="21"/>
        </w:rPr>
        <w:tab/>
      </w:r>
      <w:r>
        <w:rPr>
          <w:b/>
          <w:bCs/>
          <w:sz w:val="21"/>
          <w:szCs w:val="21"/>
        </w:rPr>
        <w:t>10</w:t>
      </w:r>
      <w:r>
        <w:rPr>
          <w:b/>
          <w:bCs/>
          <w:sz w:val="21"/>
          <w:szCs w:val="21"/>
        </w:rPr>
        <w:fldChar w:fldCharType="end"/>
      </w:r>
    </w:p>
    <w:p>
      <w:pPr>
        <w:pStyle w:val="11"/>
        <w:tabs>
          <w:tab w:val="right" w:leader="dot" w:pos="8306"/>
        </w:tabs>
        <w:ind w:left="560"/>
        <w:rPr>
          <w:sz w:val="21"/>
          <w:szCs w:val="21"/>
        </w:rPr>
      </w:pPr>
      <w:r>
        <w:fldChar w:fldCharType="begin"/>
      </w:r>
      <w:r>
        <w:instrText xml:space="preserve"> HYPERLINK \l "_Toc7470" </w:instrText>
      </w:r>
      <w:r>
        <w:fldChar w:fldCharType="separate"/>
      </w:r>
      <w:r>
        <w:rPr>
          <w:rFonts w:hint="eastAsia" w:ascii="黑体" w:hAnsi="黑体" w:eastAsia="黑体" w:cs="黑体"/>
          <w:sz w:val="21"/>
          <w:szCs w:val="21"/>
        </w:rPr>
        <w:t>7.1售后服务和质保</w:t>
      </w:r>
      <w:r>
        <w:rPr>
          <w:sz w:val="21"/>
          <w:szCs w:val="21"/>
        </w:rPr>
        <w:tab/>
      </w:r>
      <w:r>
        <w:rPr>
          <w:sz w:val="21"/>
          <w:szCs w:val="21"/>
        </w:rPr>
        <w:t>10</w:t>
      </w:r>
      <w:r>
        <w:rPr>
          <w:sz w:val="21"/>
          <w:szCs w:val="21"/>
        </w:rPr>
        <w:fldChar w:fldCharType="end"/>
      </w:r>
    </w:p>
    <w:p>
      <w:pPr>
        <w:pStyle w:val="11"/>
        <w:tabs>
          <w:tab w:val="right" w:leader="dot" w:pos="8306"/>
        </w:tabs>
        <w:ind w:left="560"/>
        <w:rPr>
          <w:sz w:val="21"/>
          <w:szCs w:val="21"/>
        </w:rPr>
      </w:pPr>
      <w:r>
        <w:fldChar w:fldCharType="begin"/>
      </w:r>
      <w:r>
        <w:instrText xml:space="preserve"> HYPERLINK \l "_Toc16492" </w:instrText>
      </w:r>
      <w:r>
        <w:fldChar w:fldCharType="separate"/>
      </w:r>
      <w:r>
        <w:rPr>
          <w:rFonts w:hint="eastAsia" w:ascii="黑体" w:hAnsi="黑体" w:eastAsia="黑体" w:cs="黑体"/>
          <w:sz w:val="21"/>
          <w:szCs w:val="21"/>
        </w:rPr>
        <w:t>7.2 技术服务</w:t>
      </w:r>
      <w:r>
        <w:rPr>
          <w:sz w:val="21"/>
          <w:szCs w:val="21"/>
        </w:rPr>
        <w:tab/>
      </w:r>
      <w:r>
        <w:rPr>
          <w:sz w:val="21"/>
          <w:szCs w:val="21"/>
        </w:rPr>
        <w:t>10</w:t>
      </w:r>
      <w:r>
        <w:rPr>
          <w:sz w:val="21"/>
          <w:szCs w:val="21"/>
        </w:rPr>
        <w:fldChar w:fldCharType="end"/>
      </w:r>
    </w:p>
    <w:p>
      <w:pPr>
        <w:pStyle w:val="10"/>
        <w:tabs>
          <w:tab w:val="right" w:leader="dot" w:pos="8306"/>
        </w:tabs>
        <w:rPr>
          <w:sz w:val="21"/>
          <w:szCs w:val="21"/>
        </w:rPr>
      </w:pPr>
      <w:r>
        <w:fldChar w:fldCharType="begin"/>
      </w:r>
      <w:r>
        <w:instrText xml:space="preserve"> HYPERLINK \l "_Toc20675" </w:instrText>
      </w:r>
      <w:r>
        <w:fldChar w:fldCharType="separate"/>
      </w:r>
      <w:r>
        <w:rPr>
          <w:rFonts w:ascii="黑体" w:hAnsi="黑体" w:eastAsia="黑体" w:cs="黑体"/>
          <w:b/>
          <w:bCs/>
          <w:sz w:val="21"/>
          <w:szCs w:val="21"/>
        </w:rPr>
        <w:t xml:space="preserve">第八章 </w:t>
      </w:r>
      <w:r>
        <w:rPr>
          <w:rFonts w:hint="eastAsia" w:ascii="黑体" w:hAnsi="黑体" w:eastAsia="黑体" w:cs="黑体"/>
          <w:b/>
          <w:bCs/>
          <w:sz w:val="21"/>
          <w:szCs w:val="21"/>
        </w:rPr>
        <w:t>资料和文件交付</w:t>
      </w:r>
      <w:r>
        <w:rPr>
          <w:b/>
          <w:bCs/>
          <w:sz w:val="21"/>
          <w:szCs w:val="21"/>
        </w:rPr>
        <w:tab/>
      </w:r>
      <w:r>
        <w:rPr>
          <w:b/>
          <w:bCs/>
          <w:sz w:val="21"/>
          <w:szCs w:val="21"/>
        </w:rPr>
        <w:t>11</w:t>
      </w:r>
      <w:r>
        <w:rPr>
          <w:b/>
          <w:bCs/>
          <w:sz w:val="21"/>
          <w:szCs w:val="21"/>
        </w:rPr>
        <w:fldChar w:fldCharType="end"/>
      </w:r>
    </w:p>
    <w:p>
      <w:pPr>
        <w:pStyle w:val="11"/>
        <w:tabs>
          <w:tab w:val="right" w:leader="dot" w:pos="8306"/>
        </w:tabs>
        <w:ind w:left="560"/>
        <w:rPr>
          <w:sz w:val="21"/>
          <w:szCs w:val="21"/>
        </w:rPr>
      </w:pPr>
      <w:r>
        <w:fldChar w:fldCharType="begin"/>
      </w:r>
      <w:r>
        <w:instrText xml:space="preserve"> HYPERLINK \l "_Toc12349" </w:instrText>
      </w:r>
      <w:r>
        <w:fldChar w:fldCharType="separate"/>
      </w:r>
      <w:r>
        <w:rPr>
          <w:rFonts w:hint="eastAsia" w:ascii="黑体" w:hAnsi="黑体" w:eastAsia="黑体" w:cs="黑体"/>
          <w:sz w:val="21"/>
          <w:szCs w:val="21"/>
        </w:rPr>
        <w:t>8.1通用部分</w:t>
      </w:r>
      <w:r>
        <w:rPr>
          <w:sz w:val="21"/>
          <w:szCs w:val="21"/>
        </w:rPr>
        <w:tab/>
      </w:r>
      <w:r>
        <w:rPr>
          <w:sz w:val="21"/>
          <w:szCs w:val="21"/>
        </w:rPr>
        <w:t>11</w:t>
      </w:r>
      <w:r>
        <w:rPr>
          <w:sz w:val="21"/>
          <w:szCs w:val="21"/>
        </w:rPr>
        <w:fldChar w:fldCharType="end"/>
      </w:r>
    </w:p>
    <w:p>
      <w:pPr>
        <w:pStyle w:val="11"/>
        <w:tabs>
          <w:tab w:val="right" w:leader="dot" w:pos="8306"/>
        </w:tabs>
        <w:ind w:left="560"/>
        <w:rPr>
          <w:sz w:val="21"/>
          <w:szCs w:val="21"/>
        </w:rPr>
      </w:pPr>
      <w:r>
        <w:fldChar w:fldCharType="begin"/>
      </w:r>
      <w:r>
        <w:instrText xml:space="preserve"> HYPERLINK \l "_Toc9277" </w:instrText>
      </w:r>
      <w:r>
        <w:fldChar w:fldCharType="separate"/>
      </w:r>
      <w:r>
        <w:rPr>
          <w:rFonts w:hint="eastAsia" w:ascii="黑体" w:hAnsi="黑体" w:eastAsia="黑体" w:cs="黑体"/>
          <w:sz w:val="21"/>
          <w:szCs w:val="21"/>
        </w:rPr>
        <w:t>8.2专用部分</w:t>
      </w:r>
      <w:r>
        <w:rPr>
          <w:sz w:val="21"/>
          <w:szCs w:val="21"/>
        </w:rPr>
        <w:tab/>
      </w:r>
      <w:r>
        <w:rPr>
          <w:sz w:val="21"/>
          <w:szCs w:val="21"/>
        </w:rPr>
        <w:t>11</w:t>
      </w:r>
      <w:r>
        <w:rPr>
          <w:sz w:val="21"/>
          <w:szCs w:val="21"/>
        </w:rPr>
        <w:fldChar w:fldCharType="end"/>
      </w:r>
    </w:p>
    <w:p>
      <w:pPr>
        <w:pStyle w:val="11"/>
        <w:tabs>
          <w:tab w:val="right" w:leader="dot" w:pos="8306"/>
        </w:tabs>
        <w:ind w:left="560"/>
        <w:rPr>
          <w:sz w:val="21"/>
          <w:szCs w:val="21"/>
        </w:rPr>
      </w:pPr>
    </w:p>
    <w:p>
      <w:pPr>
        <w:pStyle w:val="11"/>
        <w:tabs>
          <w:tab w:val="right" w:leader="dot" w:pos="8306"/>
        </w:tabs>
        <w:ind w:left="560"/>
      </w:pPr>
    </w:p>
    <w:p>
      <w:pPr>
        <w:pStyle w:val="11"/>
        <w:tabs>
          <w:tab w:val="right" w:leader="dot" w:pos="8306"/>
        </w:tabs>
        <w:ind w:left="560"/>
      </w:pPr>
    </w:p>
    <w:p>
      <w:pPr>
        <w:tabs>
          <w:tab w:val="left" w:pos="3000"/>
          <w:tab w:val="left" w:pos="3280"/>
          <w:tab w:val="left" w:pos="6120"/>
          <w:tab w:val="left" w:pos="7540"/>
          <w:tab w:val="left" w:pos="8320"/>
        </w:tabs>
        <w:adjustRightInd w:val="0"/>
        <w:snapToGrid w:val="0"/>
        <w:ind w:firstLine="560"/>
        <w:jc w:val="center"/>
        <w:rPr>
          <w:rFonts w:ascii="黑体" w:hAnsi="黑体" w:eastAsia="黑体" w:cs="黑体"/>
          <w:kern w:val="44"/>
          <w:szCs w:val="28"/>
        </w:rPr>
      </w:pPr>
    </w:p>
    <w:bookmarkEnd w:id="2"/>
    <w:bookmarkEnd w:id="3"/>
    <w:bookmarkEnd w:id="4"/>
    <w:bookmarkEnd w:id="5"/>
    <w:bookmarkEnd w:id="6"/>
    <w:bookmarkEnd w:id="7"/>
    <w:bookmarkEnd w:id="8"/>
    <w:bookmarkEnd w:id="9"/>
    <w:bookmarkEnd w:id="10"/>
    <w:bookmarkEnd w:id="11"/>
    <w:p>
      <w:pPr>
        <w:pStyle w:val="3"/>
        <w:spacing w:before="0" w:after="0" w:line="360" w:lineRule="auto"/>
        <w:ind w:firstLine="0" w:firstLineChars="0"/>
        <w:rPr>
          <w:rFonts w:ascii="黑体" w:hAnsi="黑体" w:eastAsia="黑体" w:cs="黑体"/>
          <w:b w:val="0"/>
          <w:bCs w:val="0"/>
          <w:sz w:val="28"/>
          <w:szCs w:val="28"/>
        </w:rPr>
        <w:sectPr>
          <w:headerReference r:id="rId9" w:type="default"/>
          <w:footerReference r:id="rId10" w:type="default"/>
          <w:pgSz w:w="11906" w:h="16838"/>
          <w:pgMar w:top="1440" w:right="1800" w:bottom="1440" w:left="1800" w:header="851" w:footer="992" w:gutter="0"/>
          <w:pgNumType w:start="1"/>
          <w:cols w:space="720" w:num="1"/>
          <w:docGrid w:type="lines" w:linePitch="312" w:charSpace="0"/>
        </w:sectPr>
      </w:pPr>
      <w:bookmarkStart w:id="12" w:name="_Toc6394"/>
      <w:bookmarkStart w:id="13" w:name="_Toc16477"/>
      <w:bookmarkStart w:id="14" w:name="_Toc1781"/>
      <w:bookmarkStart w:id="15" w:name="_Toc18423_WPSOffice_Level1"/>
      <w:bookmarkStart w:id="16" w:name="_Toc7892"/>
    </w:p>
    <w:p>
      <w:pPr>
        <w:pStyle w:val="3"/>
        <w:adjustRightInd w:val="0"/>
        <w:snapToGrid w:val="0"/>
        <w:spacing w:before="0" w:after="0" w:line="360" w:lineRule="auto"/>
        <w:ind w:firstLine="0" w:firstLineChars="0"/>
        <w:rPr>
          <w:rFonts w:ascii="黑体" w:hAnsi="黑体" w:eastAsia="黑体" w:cs="黑体"/>
          <w:b w:val="0"/>
          <w:bCs w:val="0"/>
          <w:sz w:val="28"/>
          <w:szCs w:val="28"/>
        </w:rPr>
      </w:pPr>
      <w:bookmarkStart w:id="17" w:name="_Toc21191"/>
      <w:bookmarkStart w:id="18" w:name="_Toc9200"/>
      <w:bookmarkStart w:id="19" w:name="_Toc25051"/>
      <w:bookmarkStart w:id="20" w:name="_Toc17645"/>
      <w:bookmarkStart w:id="21" w:name="_Toc14157"/>
      <w:bookmarkStart w:id="22" w:name="_Toc14626"/>
      <w:bookmarkStart w:id="23" w:name="_Toc20046"/>
      <w:bookmarkStart w:id="24" w:name="_Toc22406"/>
      <w:bookmarkStart w:id="25" w:name="_Toc18409"/>
      <w:r>
        <w:rPr>
          <w:rFonts w:hint="eastAsia" w:ascii="黑体" w:hAnsi="黑体" w:eastAsia="黑体" w:cs="黑体"/>
          <w:b w:val="0"/>
          <w:bCs w:val="0"/>
          <w:sz w:val="28"/>
          <w:szCs w:val="28"/>
        </w:rPr>
        <w:t>报价人须知</w:t>
      </w:r>
      <w:bookmarkEnd w:id="12"/>
      <w:bookmarkEnd w:id="13"/>
      <w:bookmarkEnd w:id="14"/>
      <w:bookmarkEnd w:id="15"/>
      <w:bookmarkEnd w:id="16"/>
      <w:bookmarkEnd w:id="17"/>
      <w:bookmarkEnd w:id="18"/>
      <w:bookmarkEnd w:id="19"/>
      <w:bookmarkEnd w:id="20"/>
      <w:bookmarkEnd w:id="21"/>
      <w:bookmarkEnd w:id="22"/>
      <w:bookmarkEnd w:id="23"/>
      <w:bookmarkEnd w:id="24"/>
      <w:bookmarkEnd w:id="25"/>
    </w:p>
    <w:p>
      <w:pPr>
        <w:pStyle w:val="3"/>
        <w:adjustRightInd w:val="0"/>
        <w:snapToGrid w:val="0"/>
        <w:spacing w:before="0" w:after="0" w:line="360" w:lineRule="auto"/>
        <w:ind w:firstLine="562"/>
        <w:jc w:val="both"/>
        <w:rPr>
          <w:rFonts w:ascii="宋体" w:hAnsi="宋体" w:cs="宋体"/>
          <w:kern w:val="2"/>
          <w:sz w:val="28"/>
          <w:szCs w:val="22"/>
          <w:u w:val="single"/>
        </w:rPr>
      </w:pPr>
      <w:r>
        <w:rPr>
          <w:rFonts w:hint="eastAsia" w:ascii="宋体" w:hAnsi="宋体" w:cs="宋体"/>
          <w:kern w:val="2"/>
          <w:sz w:val="28"/>
          <w:szCs w:val="22"/>
          <w:u w:val="single"/>
        </w:rPr>
        <w:t>1.请报价人在报价前仔细阅读本技术部分说明。</w:t>
      </w:r>
    </w:p>
    <w:p>
      <w:pPr>
        <w:pStyle w:val="3"/>
        <w:adjustRightInd w:val="0"/>
        <w:snapToGrid w:val="0"/>
        <w:spacing w:before="0" w:after="0" w:line="360" w:lineRule="auto"/>
        <w:ind w:firstLine="560"/>
        <w:jc w:val="both"/>
        <w:rPr>
          <w:rFonts w:ascii="宋体" w:hAnsi="宋体" w:cs="宋体"/>
          <w:b w:val="0"/>
          <w:bCs w:val="0"/>
          <w:kern w:val="2"/>
          <w:sz w:val="28"/>
          <w:szCs w:val="22"/>
        </w:rPr>
      </w:pPr>
      <w:r>
        <w:rPr>
          <w:rFonts w:hint="eastAsia" w:ascii="宋体" w:hAnsi="宋体" w:cs="宋体"/>
          <w:b w:val="0"/>
          <w:bCs w:val="0"/>
          <w:kern w:val="2"/>
          <w:sz w:val="28"/>
          <w:szCs w:val="22"/>
        </w:rPr>
        <w:t>2.本文件部分条款由通用部分和专用部分共同组成。专用部分是对通用部分的补充和完善，两部分应对照阅读。若通用部分和专用部分对同一内容的表述出现相互矛盾或不一致时，则此内容的表述以专用部分为准。</w:t>
      </w:r>
    </w:p>
    <w:p>
      <w:pPr>
        <w:adjustRightInd w:val="0"/>
        <w:snapToGrid w:val="0"/>
        <w:ind w:firstLine="560"/>
      </w:pPr>
      <w:r>
        <w:rPr>
          <w:rFonts w:hint="eastAsia" w:ascii="宋体" w:hAnsi="宋体" w:cs="宋体"/>
          <w:szCs w:val="22"/>
        </w:rPr>
        <w:t>3.专用部分表述为“无”的条款，即为对通用部分无补充和完善，该条款全部以通用部分表述为准。</w:t>
      </w:r>
    </w:p>
    <w:p>
      <w:pPr>
        <w:pStyle w:val="2"/>
        <w:adjustRightInd w:val="0"/>
        <w:snapToGrid w:val="0"/>
        <w:spacing w:line="360" w:lineRule="auto"/>
        <w:ind w:firstLine="0" w:firstLineChars="0"/>
      </w:pPr>
    </w:p>
    <w:p>
      <w:pPr>
        <w:adjustRightInd w:val="0"/>
        <w:snapToGrid w:val="0"/>
        <w:ind w:firstLine="0" w:firstLineChars="0"/>
        <w:rPr>
          <w:rFonts w:ascii="宋体" w:hAnsi="宋体"/>
          <w:sz w:val="21"/>
        </w:rPr>
      </w:pPr>
    </w:p>
    <w:p>
      <w:pPr>
        <w:pStyle w:val="2"/>
        <w:adjustRightInd w:val="0"/>
        <w:snapToGrid w:val="0"/>
        <w:spacing w:line="360" w:lineRule="auto"/>
        <w:ind w:firstLine="422"/>
        <w:rPr>
          <w:rFonts w:ascii="宋体" w:hAnsi="宋体"/>
          <w:sz w:val="21"/>
        </w:rPr>
      </w:pPr>
    </w:p>
    <w:p>
      <w:pPr>
        <w:adjustRightInd w:val="0"/>
        <w:snapToGrid w:val="0"/>
        <w:ind w:firstLine="420"/>
        <w:rPr>
          <w:rFonts w:ascii="宋体" w:hAnsi="宋体"/>
          <w:sz w:val="21"/>
        </w:rPr>
      </w:pPr>
    </w:p>
    <w:p>
      <w:pPr>
        <w:pStyle w:val="2"/>
        <w:adjustRightInd w:val="0"/>
        <w:snapToGrid w:val="0"/>
        <w:spacing w:line="360" w:lineRule="auto"/>
        <w:ind w:firstLine="422"/>
        <w:rPr>
          <w:rFonts w:ascii="宋体" w:hAnsi="宋体"/>
          <w:sz w:val="21"/>
        </w:rPr>
      </w:pPr>
    </w:p>
    <w:p>
      <w:pPr>
        <w:adjustRightInd w:val="0"/>
        <w:snapToGrid w:val="0"/>
        <w:ind w:firstLine="420"/>
        <w:rPr>
          <w:rFonts w:ascii="宋体" w:hAnsi="宋体"/>
          <w:sz w:val="21"/>
        </w:rPr>
      </w:pPr>
    </w:p>
    <w:p>
      <w:pPr>
        <w:pStyle w:val="2"/>
        <w:adjustRightInd w:val="0"/>
        <w:snapToGrid w:val="0"/>
        <w:spacing w:line="360" w:lineRule="auto"/>
        <w:ind w:firstLine="422"/>
        <w:rPr>
          <w:rFonts w:ascii="宋体" w:hAnsi="宋体"/>
          <w:sz w:val="21"/>
        </w:rPr>
      </w:pPr>
    </w:p>
    <w:p>
      <w:pPr>
        <w:adjustRightInd w:val="0"/>
        <w:snapToGrid w:val="0"/>
        <w:ind w:firstLine="420"/>
        <w:rPr>
          <w:rFonts w:ascii="宋体" w:hAnsi="宋体"/>
          <w:sz w:val="21"/>
        </w:rPr>
      </w:pPr>
    </w:p>
    <w:p>
      <w:pPr>
        <w:pStyle w:val="2"/>
        <w:adjustRightInd w:val="0"/>
        <w:snapToGrid w:val="0"/>
        <w:spacing w:line="360" w:lineRule="auto"/>
        <w:ind w:firstLine="422"/>
        <w:rPr>
          <w:rFonts w:ascii="宋体" w:hAnsi="宋体"/>
          <w:sz w:val="21"/>
        </w:rPr>
      </w:pPr>
    </w:p>
    <w:p>
      <w:pPr>
        <w:adjustRightInd w:val="0"/>
        <w:snapToGrid w:val="0"/>
        <w:ind w:firstLine="420"/>
        <w:rPr>
          <w:rFonts w:ascii="宋体" w:hAnsi="宋体"/>
          <w:sz w:val="21"/>
        </w:rPr>
      </w:pPr>
    </w:p>
    <w:p>
      <w:pPr>
        <w:pStyle w:val="3"/>
        <w:numPr>
          <w:ilvl w:val="0"/>
          <w:numId w:val="1"/>
        </w:numPr>
        <w:adjustRightInd w:val="0"/>
        <w:snapToGrid w:val="0"/>
        <w:spacing w:before="0" w:after="0" w:line="360" w:lineRule="auto"/>
        <w:ind w:left="0" w:firstLine="0" w:firstLineChars="0"/>
        <w:rPr>
          <w:rFonts w:ascii="黑体" w:hAnsi="黑体" w:eastAsia="黑体" w:cs="黑体"/>
          <w:b w:val="0"/>
          <w:bCs w:val="0"/>
          <w:sz w:val="28"/>
          <w:szCs w:val="28"/>
        </w:rPr>
      </w:pPr>
      <w:bookmarkStart w:id="26" w:name="_Toc23326"/>
      <w:bookmarkStart w:id="27" w:name="_Toc13643"/>
      <w:bookmarkStart w:id="28" w:name="_Toc14344"/>
      <w:bookmarkStart w:id="29" w:name="_Toc25308"/>
      <w:bookmarkStart w:id="30" w:name="_Toc2612"/>
      <w:bookmarkStart w:id="31" w:name="_Toc8158"/>
      <w:bookmarkStart w:id="32" w:name="_Toc30201"/>
      <w:bookmarkStart w:id="33" w:name="_Toc25232"/>
      <w:bookmarkStart w:id="34" w:name="_Toc13150"/>
      <w:bookmarkStart w:id="35" w:name="_Toc29411"/>
      <w:bookmarkStart w:id="36" w:name="_Toc29843"/>
      <w:r>
        <w:rPr>
          <w:rFonts w:hint="eastAsia" w:ascii="黑体" w:hAnsi="黑体" w:eastAsia="黑体" w:cs="黑体"/>
          <w:b w:val="0"/>
          <w:bCs w:val="0"/>
          <w:sz w:val="28"/>
          <w:szCs w:val="28"/>
        </w:rPr>
        <w:br w:type="page"/>
      </w:r>
      <w:bookmarkStart w:id="37" w:name="_Toc15901"/>
      <w:bookmarkStart w:id="38" w:name="_Toc22875"/>
      <w:bookmarkStart w:id="39" w:name="_Toc25608"/>
      <w:r>
        <w:rPr>
          <w:rFonts w:hint="eastAsia" w:ascii="黑体" w:hAnsi="黑体" w:eastAsia="黑体" w:cs="黑体"/>
          <w:b w:val="0"/>
          <w:bCs w:val="0"/>
          <w:sz w:val="28"/>
          <w:szCs w:val="28"/>
        </w:rPr>
        <w:t>总体要求</w:t>
      </w:r>
      <w:bookmarkEnd w:id="26"/>
      <w:bookmarkEnd w:id="27"/>
      <w:bookmarkEnd w:id="28"/>
      <w:bookmarkEnd w:id="29"/>
      <w:bookmarkEnd w:id="30"/>
      <w:bookmarkEnd w:id="31"/>
      <w:bookmarkEnd w:id="32"/>
      <w:bookmarkEnd w:id="33"/>
      <w:bookmarkEnd w:id="34"/>
      <w:bookmarkEnd w:id="35"/>
      <w:bookmarkEnd w:id="36"/>
      <w:bookmarkEnd w:id="37"/>
      <w:bookmarkEnd w:id="38"/>
      <w:bookmarkEnd w:id="39"/>
    </w:p>
    <w:p>
      <w:pPr>
        <w:adjustRightInd w:val="0"/>
        <w:snapToGrid w:val="0"/>
        <w:ind w:firstLine="560"/>
        <w:rPr>
          <w:rFonts w:ascii="宋体" w:hAnsi="宋体" w:cs="宋体"/>
          <w:szCs w:val="22"/>
        </w:rPr>
      </w:pPr>
      <w:r>
        <w:rPr>
          <w:rFonts w:hint="eastAsia" w:ascii="宋体" w:hAnsi="宋体" w:cs="宋体"/>
          <w:szCs w:val="22"/>
        </w:rPr>
        <w:t>1.1本技术部分仅适用于本采购项目。</w:t>
      </w:r>
    </w:p>
    <w:p>
      <w:pPr>
        <w:adjustRightInd w:val="0"/>
        <w:snapToGrid w:val="0"/>
        <w:ind w:firstLine="560"/>
        <w:rPr>
          <w:rFonts w:ascii="宋体" w:hAnsi="宋体" w:cs="宋体"/>
          <w:szCs w:val="22"/>
        </w:rPr>
      </w:pPr>
      <w:r>
        <w:rPr>
          <w:rFonts w:hint="eastAsia" w:ascii="宋体" w:hAnsi="宋体" w:cs="宋体"/>
          <w:szCs w:val="22"/>
        </w:rPr>
        <w:t xml:space="preserve">1.2本技术部分提出的是最低限度的要求，并未对一切细节作出规定，也并未规定所有的技术要求和适用的标准，报价人应保证按照本技术部分和相关规范的要求进行供货和服务。对国家、地方及行业有关强制性标准，必须满足其要求。 </w:t>
      </w:r>
    </w:p>
    <w:p>
      <w:pPr>
        <w:adjustRightInd w:val="0"/>
        <w:snapToGrid w:val="0"/>
        <w:ind w:firstLine="560"/>
        <w:rPr>
          <w:rFonts w:ascii="宋体" w:hAnsi="宋体" w:cs="宋体"/>
          <w:szCs w:val="22"/>
        </w:rPr>
      </w:pPr>
      <w:r>
        <w:rPr>
          <w:rFonts w:hint="eastAsia" w:ascii="宋体" w:hAnsi="宋体" w:cs="宋体"/>
          <w:szCs w:val="22"/>
        </w:rPr>
        <w:t xml:space="preserve">1.3本采购文件使用的标准，如遇与报价人所执行的标准不一致时，按较高的标准执行。 </w:t>
      </w:r>
    </w:p>
    <w:p>
      <w:pPr>
        <w:adjustRightInd w:val="0"/>
        <w:snapToGrid w:val="0"/>
        <w:ind w:firstLine="560"/>
        <w:rPr>
          <w:rFonts w:ascii="宋体" w:hAnsi="宋体" w:cs="宋体"/>
          <w:szCs w:val="22"/>
        </w:rPr>
      </w:pPr>
      <w:r>
        <w:rPr>
          <w:rFonts w:hint="eastAsia" w:ascii="宋体" w:hAnsi="宋体" w:cs="宋体"/>
          <w:szCs w:val="22"/>
        </w:rPr>
        <w:t>1.4本项目涉及到的知识产权费用均已包含在报价中，因知识产权产生的纠纷由报价人自行承担或解决，采购人不承担相应责任。</w:t>
      </w:r>
    </w:p>
    <w:p>
      <w:pPr>
        <w:adjustRightInd w:val="0"/>
        <w:snapToGrid w:val="0"/>
        <w:ind w:firstLine="560"/>
        <w:rPr>
          <w:rFonts w:ascii="宋体" w:hAnsi="宋体" w:cs="宋体"/>
          <w:szCs w:val="22"/>
        </w:rPr>
      </w:pPr>
      <w:r>
        <w:rPr>
          <w:rFonts w:hint="eastAsia" w:ascii="宋体" w:hAnsi="宋体" w:cs="宋体"/>
          <w:szCs w:val="22"/>
        </w:rPr>
        <w:t>1.5本技术部分如果引用了某一生产商及其专利、品牌的技术标准以便清楚地说明拟采购项目的技术标准时，则报价人提供的标的物采用的技术标准为至少“相当于”该引用的技术标准。</w:t>
      </w:r>
    </w:p>
    <w:p>
      <w:pPr>
        <w:adjustRightInd w:val="0"/>
        <w:snapToGrid w:val="0"/>
        <w:ind w:firstLine="560"/>
        <w:rPr>
          <w:rFonts w:ascii="宋体" w:hAnsi="宋体" w:cs="宋体"/>
          <w:szCs w:val="22"/>
        </w:rPr>
      </w:pPr>
      <w:r>
        <w:rPr>
          <w:rFonts w:hint="eastAsia" w:ascii="宋体" w:hAnsi="宋体" w:cs="宋体"/>
          <w:szCs w:val="22"/>
        </w:rPr>
        <w:t>1.6除采购文件另有规定外，列入本技术部分的所有工作内容均应包含在本项目报价中。</w:t>
      </w:r>
    </w:p>
    <w:p>
      <w:pPr>
        <w:adjustRightInd w:val="0"/>
        <w:snapToGrid w:val="0"/>
        <w:ind w:firstLine="560"/>
        <w:rPr>
          <w:rFonts w:ascii="宋体" w:hAnsi="宋体" w:cs="宋体"/>
          <w:szCs w:val="22"/>
        </w:rPr>
      </w:pPr>
      <w:r>
        <w:rPr>
          <w:rFonts w:hint="eastAsia" w:ascii="宋体" w:hAnsi="宋体" w:cs="宋体"/>
          <w:szCs w:val="22"/>
        </w:rPr>
        <w:t>1.7本技术部分为合同的附件，与合同正文具有同等效力。</w:t>
      </w:r>
    </w:p>
    <w:p>
      <w:pPr>
        <w:adjustRightInd w:val="0"/>
        <w:snapToGrid w:val="0"/>
        <w:ind w:firstLine="560"/>
        <w:rPr>
          <w:rFonts w:ascii="宋体" w:hAnsi="宋体" w:cs="宋体"/>
          <w:szCs w:val="22"/>
        </w:rPr>
      </w:pPr>
      <w:r>
        <w:rPr>
          <w:rFonts w:hint="eastAsia" w:ascii="宋体" w:hAnsi="宋体" w:cs="宋体"/>
          <w:szCs w:val="22"/>
        </w:rPr>
        <w:t>1.8本技术部分中如若出现资质、业绩等方面要求，如与商务部分不一致，以商务部分为准。</w:t>
      </w:r>
    </w:p>
    <w:p>
      <w:pPr>
        <w:pStyle w:val="3"/>
        <w:numPr>
          <w:ilvl w:val="0"/>
          <w:numId w:val="1"/>
        </w:numPr>
        <w:adjustRightInd w:val="0"/>
        <w:snapToGrid w:val="0"/>
        <w:spacing w:before="0" w:after="0" w:line="360" w:lineRule="auto"/>
        <w:ind w:left="0" w:firstLine="0" w:firstLineChars="0"/>
        <w:rPr>
          <w:rFonts w:ascii="黑体" w:hAnsi="黑体" w:eastAsia="黑体" w:cs="黑体"/>
          <w:b w:val="0"/>
          <w:bCs w:val="0"/>
          <w:sz w:val="28"/>
          <w:szCs w:val="28"/>
        </w:rPr>
      </w:pPr>
      <w:bookmarkStart w:id="40" w:name="_Toc21404"/>
      <w:bookmarkStart w:id="41" w:name="_Toc11369"/>
      <w:bookmarkStart w:id="42" w:name="_Toc247"/>
      <w:bookmarkStart w:id="43" w:name="_Toc21169"/>
      <w:bookmarkStart w:id="44" w:name="_Toc2905"/>
      <w:bookmarkStart w:id="45" w:name="_Toc26709"/>
      <w:bookmarkStart w:id="46" w:name="_Toc7932"/>
      <w:bookmarkStart w:id="47" w:name="_Toc17565"/>
      <w:bookmarkStart w:id="48" w:name="_Toc6812"/>
      <w:bookmarkStart w:id="49" w:name="_Toc4579"/>
      <w:bookmarkStart w:id="50" w:name="_Toc30253"/>
      <w:r>
        <w:rPr>
          <w:rFonts w:hint="eastAsia" w:ascii="黑体" w:hAnsi="黑体" w:eastAsia="黑体" w:cs="黑体"/>
          <w:b w:val="0"/>
          <w:bCs w:val="0"/>
          <w:sz w:val="28"/>
          <w:szCs w:val="28"/>
        </w:rPr>
        <w:br w:type="page"/>
      </w:r>
      <w:bookmarkStart w:id="51" w:name="_Toc27655"/>
      <w:bookmarkStart w:id="52" w:name="_Toc8580"/>
      <w:bookmarkStart w:id="53" w:name="_Toc9167"/>
      <w:r>
        <w:rPr>
          <w:rFonts w:hint="eastAsia" w:ascii="黑体" w:hAnsi="黑体" w:eastAsia="黑体" w:cs="黑体"/>
          <w:b w:val="0"/>
          <w:bCs w:val="0"/>
          <w:sz w:val="28"/>
          <w:szCs w:val="28"/>
        </w:rPr>
        <w:t>项目概况</w:t>
      </w:r>
      <w:bookmarkEnd w:id="40"/>
      <w:bookmarkEnd w:id="41"/>
      <w:bookmarkEnd w:id="42"/>
      <w:bookmarkEnd w:id="43"/>
      <w:bookmarkEnd w:id="44"/>
      <w:bookmarkEnd w:id="45"/>
      <w:bookmarkEnd w:id="46"/>
      <w:bookmarkEnd w:id="47"/>
      <w:bookmarkEnd w:id="48"/>
      <w:bookmarkEnd w:id="49"/>
      <w:bookmarkEnd w:id="50"/>
      <w:bookmarkEnd w:id="51"/>
      <w:bookmarkEnd w:id="52"/>
      <w:bookmarkEnd w:id="53"/>
    </w:p>
    <w:p>
      <w:pPr>
        <w:adjustRightInd w:val="0"/>
        <w:snapToGrid w:val="0"/>
        <w:ind w:firstLine="560"/>
        <w:rPr>
          <w:rFonts w:ascii="黑体" w:hAnsi="黑体" w:eastAsia="黑体" w:cs="黑体"/>
          <w:szCs w:val="22"/>
        </w:rPr>
      </w:pPr>
      <w:bookmarkStart w:id="54" w:name="_Toc17730"/>
      <w:bookmarkStart w:id="55" w:name="_Toc25268"/>
      <w:bookmarkStart w:id="56" w:name="_Toc4367"/>
      <w:bookmarkStart w:id="57" w:name="_Toc18491"/>
      <w:bookmarkStart w:id="58" w:name="_Toc5382"/>
      <w:bookmarkStart w:id="59" w:name="_Toc15080"/>
      <w:bookmarkStart w:id="60" w:name="_Toc13004"/>
      <w:bookmarkStart w:id="61" w:name="_Toc16837"/>
      <w:bookmarkStart w:id="62" w:name="_Toc31181"/>
      <w:bookmarkStart w:id="63" w:name="_Toc25861"/>
      <w:bookmarkStart w:id="64" w:name="_Toc1835"/>
      <w:bookmarkStart w:id="65" w:name="_Toc13673"/>
      <w:bookmarkStart w:id="66" w:name="_Toc8869"/>
      <w:bookmarkStart w:id="67" w:name="_Toc17329"/>
      <w:r>
        <w:rPr>
          <w:rFonts w:hint="eastAsia" w:ascii="黑体" w:hAnsi="黑体" w:eastAsia="黑体" w:cs="黑体"/>
          <w:szCs w:val="22"/>
        </w:rPr>
        <w:t>2.1项目简介</w:t>
      </w:r>
      <w:bookmarkEnd w:id="54"/>
      <w:bookmarkEnd w:id="55"/>
      <w:bookmarkEnd w:id="56"/>
      <w:bookmarkEnd w:id="57"/>
      <w:bookmarkEnd w:id="58"/>
      <w:bookmarkEnd w:id="59"/>
      <w:bookmarkEnd w:id="60"/>
      <w:bookmarkEnd w:id="61"/>
      <w:bookmarkEnd w:id="62"/>
      <w:bookmarkEnd w:id="63"/>
      <w:bookmarkEnd w:id="64"/>
    </w:p>
    <w:p>
      <w:pPr>
        <w:ind w:firstLine="480"/>
        <w:rPr>
          <w:rFonts w:ascii="宋体" w:hAnsi="宋体"/>
          <w:bCs/>
          <w:color w:val="000000"/>
          <w:sz w:val="24"/>
          <w:szCs w:val="22"/>
        </w:rPr>
      </w:pPr>
      <w:bookmarkStart w:id="68" w:name="_Toc20273"/>
      <w:bookmarkStart w:id="69" w:name="_Toc4879"/>
      <w:r>
        <w:rPr>
          <w:rFonts w:ascii="宋体" w:hAnsi="宋体"/>
          <w:bCs/>
          <w:color w:val="000000"/>
          <w:sz w:val="24"/>
        </w:rPr>
        <w:t>国电建投内蒙古能源有限公司布连电厂一期工程</w:t>
      </w:r>
      <w:r>
        <w:rPr>
          <w:rFonts w:ascii="宋体" w:hAnsi="宋体"/>
          <w:color w:val="000000"/>
          <w:sz w:val="24"/>
        </w:rPr>
        <w:t>位于内蒙古鄂尔多斯市，电厂规划容量为6×660MW，一期工程安装国产2×660MW超超临界燃煤空冷机组，</w:t>
      </w:r>
      <w:r>
        <w:rPr>
          <w:rFonts w:ascii="宋体" w:hAnsi="宋体"/>
          <w:color w:val="000000"/>
          <w:sz w:val="24"/>
          <w:szCs w:val="22"/>
        </w:rPr>
        <w:t>两台机组分别于201</w:t>
      </w:r>
      <w:r>
        <w:rPr>
          <w:rFonts w:hint="eastAsia" w:ascii="宋体" w:hAnsi="宋体"/>
          <w:color w:val="000000"/>
          <w:sz w:val="24"/>
          <w:szCs w:val="22"/>
        </w:rPr>
        <w:t>3</w:t>
      </w:r>
      <w:r>
        <w:rPr>
          <w:rFonts w:ascii="宋体" w:hAnsi="宋体"/>
          <w:color w:val="000000"/>
          <w:sz w:val="24"/>
          <w:szCs w:val="22"/>
        </w:rPr>
        <w:t>年</w:t>
      </w:r>
      <w:r>
        <w:rPr>
          <w:rFonts w:hint="eastAsia" w:ascii="宋体" w:hAnsi="宋体"/>
          <w:color w:val="000000"/>
          <w:sz w:val="24"/>
          <w:szCs w:val="22"/>
        </w:rPr>
        <w:t>01</w:t>
      </w:r>
      <w:r>
        <w:rPr>
          <w:rFonts w:ascii="宋体" w:hAnsi="宋体"/>
          <w:color w:val="000000"/>
          <w:sz w:val="24"/>
          <w:szCs w:val="22"/>
        </w:rPr>
        <w:t>月3</w:t>
      </w:r>
      <w:r>
        <w:rPr>
          <w:rFonts w:hint="eastAsia" w:ascii="宋体" w:hAnsi="宋体"/>
          <w:color w:val="000000"/>
          <w:sz w:val="24"/>
          <w:szCs w:val="22"/>
        </w:rPr>
        <w:t>1</w:t>
      </w:r>
      <w:r>
        <w:rPr>
          <w:rFonts w:ascii="宋体" w:hAnsi="宋体"/>
          <w:color w:val="000000"/>
          <w:sz w:val="24"/>
          <w:szCs w:val="22"/>
        </w:rPr>
        <w:t>日及201</w:t>
      </w:r>
      <w:r>
        <w:rPr>
          <w:rFonts w:hint="eastAsia" w:ascii="宋体" w:hAnsi="宋体"/>
          <w:color w:val="000000"/>
          <w:sz w:val="24"/>
          <w:szCs w:val="22"/>
        </w:rPr>
        <w:t>3</w:t>
      </w:r>
      <w:r>
        <w:rPr>
          <w:rFonts w:ascii="宋体" w:hAnsi="宋体"/>
          <w:color w:val="000000"/>
          <w:sz w:val="24"/>
          <w:szCs w:val="22"/>
        </w:rPr>
        <w:t>年</w:t>
      </w:r>
      <w:r>
        <w:rPr>
          <w:rFonts w:hint="eastAsia" w:ascii="宋体" w:hAnsi="宋体"/>
          <w:color w:val="000000"/>
          <w:sz w:val="24"/>
          <w:szCs w:val="22"/>
        </w:rPr>
        <w:t>06</w:t>
      </w:r>
      <w:r>
        <w:rPr>
          <w:rFonts w:ascii="宋体" w:hAnsi="宋体"/>
          <w:color w:val="000000"/>
          <w:sz w:val="24"/>
          <w:szCs w:val="22"/>
        </w:rPr>
        <w:t>月</w:t>
      </w:r>
      <w:r>
        <w:rPr>
          <w:rFonts w:hint="eastAsia" w:ascii="宋体" w:hAnsi="宋体"/>
          <w:color w:val="000000"/>
          <w:sz w:val="24"/>
          <w:szCs w:val="22"/>
        </w:rPr>
        <w:t>27</w:t>
      </w:r>
      <w:r>
        <w:rPr>
          <w:rFonts w:ascii="宋体" w:hAnsi="宋体"/>
          <w:color w:val="000000"/>
          <w:sz w:val="24"/>
          <w:szCs w:val="22"/>
        </w:rPr>
        <w:t>日完成168小时试运并移交生产</w:t>
      </w:r>
      <w:r>
        <w:rPr>
          <w:rFonts w:hint="eastAsia" w:ascii="宋体" w:hAnsi="宋体"/>
          <w:color w:val="000000"/>
          <w:sz w:val="24"/>
          <w:szCs w:val="22"/>
        </w:rPr>
        <w:t>。</w:t>
      </w:r>
    </w:p>
    <w:p>
      <w:pPr>
        <w:ind w:firstLine="480"/>
        <w:rPr>
          <w:rFonts w:ascii="宋体" w:hAnsi="宋体"/>
          <w:color w:val="000000"/>
          <w:sz w:val="24"/>
        </w:rPr>
      </w:pPr>
      <w:r>
        <w:rPr>
          <w:rFonts w:ascii="宋体" w:hAnsi="宋体"/>
          <w:sz w:val="24"/>
        </w:rPr>
        <w:t>2.1</w:t>
      </w:r>
      <w:r>
        <w:rPr>
          <w:rFonts w:ascii="宋体" w:hAnsi="宋体"/>
          <w:b/>
          <w:color w:val="000000"/>
          <w:sz w:val="24"/>
        </w:rPr>
        <w:t xml:space="preserve"> </w:t>
      </w:r>
      <w:r>
        <w:rPr>
          <w:rFonts w:ascii="宋体" w:hAnsi="宋体"/>
          <w:color w:val="000000"/>
          <w:sz w:val="24"/>
        </w:rPr>
        <w:t xml:space="preserve"> 厂址所在地</w:t>
      </w:r>
    </w:p>
    <w:p>
      <w:pPr>
        <w:ind w:firstLine="480"/>
        <w:rPr>
          <w:rFonts w:ascii="宋体" w:hAnsi="宋体"/>
          <w:bCs/>
          <w:color w:val="000000"/>
          <w:sz w:val="24"/>
        </w:rPr>
      </w:pPr>
      <w:r>
        <w:rPr>
          <w:rFonts w:hint="eastAsia" w:ascii="宋体" w:hAnsi="宋体"/>
          <w:bCs/>
          <w:color w:val="000000"/>
          <w:sz w:val="24"/>
        </w:rPr>
        <w:t>布连电厂</w:t>
      </w:r>
      <w:r>
        <w:rPr>
          <w:rFonts w:ascii="宋体" w:hAnsi="宋体"/>
          <w:bCs/>
          <w:color w:val="000000"/>
          <w:sz w:val="24"/>
        </w:rPr>
        <w:t>位于内蒙古鄂尔多斯市，伊金霍洛旗（简称伊旗）境内。伊旗位于内蒙古自治区鄂尔多斯东南部，北距工业重镇包头市130km，距东胜</w:t>
      </w:r>
      <w:r>
        <w:rPr>
          <w:rFonts w:hint="eastAsia" w:ascii="宋体" w:hAnsi="宋体"/>
          <w:bCs/>
          <w:color w:val="000000"/>
          <w:sz w:val="24"/>
        </w:rPr>
        <w:t>区</w:t>
      </w:r>
      <w:r>
        <w:rPr>
          <w:rFonts w:ascii="宋体" w:hAnsi="宋体"/>
          <w:bCs/>
          <w:color w:val="000000"/>
          <w:sz w:val="24"/>
        </w:rPr>
        <w:t>29km，南与陕西煤城大柳塔毗邻。</w:t>
      </w:r>
    </w:p>
    <w:p>
      <w:pPr>
        <w:ind w:firstLine="480"/>
        <w:rPr>
          <w:rFonts w:ascii="宋体" w:hAnsi="宋体"/>
          <w:color w:val="000000"/>
          <w:sz w:val="24"/>
        </w:rPr>
      </w:pPr>
      <w:r>
        <w:rPr>
          <w:rFonts w:ascii="宋体" w:hAnsi="宋体"/>
          <w:sz w:val="24"/>
        </w:rPr>
        <w:t>2.</w:t>
      </w:r>
      <w:r>
        <w:rPr>
          <w:rFonts w:hint="eastAsia" w:ascii="宋体" w:hAnsi="宋体"/>
          <w:sz w:val="24"/>
        </w:rPr>
        <w:t>2</w:t>
      </w:r>
      <w:r>
        <w:rPr>
          <w:rFonts w:ascii="宋体" w:hAnsi="宋体"/>
          <w:sz w:val="24"/>
        </w:rPr>
        <w:t xml:space="preserve"> </w:t>
      </w:r>
      <w:r>
        <w:rPr>
          <w:rFonts w:ascii="宋体" w:hAnsi="宋体"/>
          <w:color w:val="000000"/>
          <w:sz w:val="24"/>
        </w:rPr>
        <w:t xml:space="preserve"> 交通运输</w:t>
      </w:r>
    </w:p>
    <w:p>
      <w:pPr>
        <w:ind w:firstLine="480"/>
        <w:rPr>
          <w:rFonts w:ascii="宋体" w:hAnsi="宋体"/>
          <w:color w:val="000000"/>
          <w:sz w:val="24"/>
        </w:rPr>
      </w:pPr>
      <w:r>
        <w:rPr>
          <w:rFonts w:ascii="宋体" w:hAnsi="宋体"/>
          <w:color w:val="000000"/>
          <w:sz w:val="24"/>
        </w:rPr>
        <w:t>2.</w:t>
      </w:r>
      <w:r>
        <w:rPr>
          <w:rFonts w:hint="eastAsia" w:ascii="宋体" w:hAnsi="宋体"/>
          <w:color w:val="000000"/>
          <w:sz w:val="24"/>
        </w:rPr>
        <w:t>2</w:t>
      </w:r>
      <w:r>
        <w:rPr>
          <w:rFonts w:ascii="宋体" w:hAnsi="宋体"/>
          <w:color w:val="000000"/>
          <w:sz w:val="24"/>
        </w:rPr>
        <w:t>.1  铁路</w:t>
      </w:r>
    </w:p>
    <w:p>
      <w:pPr>
        <w:ind w:firstLine="480"/>
        <w:rPr>
          <w:rFonts w:ascii="宋体" w:hAnsi="宋体"/>
          <w:bCs/>
          <w:sz w:val="24"/>
        </w:rPr>
      </w:pPr>
      <w:bookmarkStart w:id="70" w:name="_Toc470536884"/>
      <w:bookmarkStart w:id="71" w:name="_Toc470421488"/>
      <w:bookmarkStart w:id="72" w:name="_Toc470873008"/>
      <w:bookmarkStart w:id="73" w:name="_Toc470535690"/>
      <w:bookmarkStart w:id="74" w:name="_Toc470493695"/>
      <w:bookmarkStart w:id="75" w:name="_Toc470874376"/>
      <w:bookmarkStart w:id="76" w:name="_Toc470537956"/>
      <w:bookmarkStart w:id="77" w:name="_Toc470535941"/>
      <w:bookmarkStart w:id="78" w:name="_Toc88188270"/>
      <w:bookmarkStart w:id="79" w:name="_Toc470874036"/>
      <w:bookmarkStart w:id="80" w:name="_Toc470539067"/>
      <w:bookmarkStart w:id="81" w:name="_Toc470872756"/>
      <w:bookmarkStart w:id="82" w:name="_Toc470872505"/>
      <w:bookmarkStart w:id="83" w:name="_Toc470536192"/>
      <w:bookmarkStart w:id="84" w:name="_Toc470870860"/>
      <w:bookmarkStart w:id="85" w:name="_Toc470873662"/>
      <w:bookmarkStart w:id="86" w:name="_Toc470493138"/>
      <w:bookmarkStart w:id="87" w:name="_Toc470426519"/>
      <w:bookmarkStart w:id="88" w:name="_Toc470493422"/>
      <w:bookmarkStart w:id="89" w:name="_Toc470536633"/>
      <w:bookmarkStart w:id="90" w:name="_Toc470872077"/>
      <w:bookmarkStart w:id="91" w:name="_Toc470538579"/>
      <w:bookmarkStart w:id="92" w:name="_Toc470865538"/>
      <w:r>
        <w:rPr>
          <w:rFonts w:hint="eastAsia" w:ascii="宋体" w:hAnsi="宋体"/>
          <w:bCs/>
          <w:sz w:val="24"/>
        </w:rPr>
        <w:t>若考虑铁路运输方式时，</w:t>
      </w:r>
      <w:r>
        <w:rPr>
          <w:rFonts w:ascii="宋体" w:hAnsi="宋体"/>
          <w:bCs/>
          <w:sz w:val="24"/>
        </w:rPr>
        <w:t>可通过</w:t>
      </w:r>
      <w:r>
        <w:rPr>
          <w:rFonts w:hint="eastAsia" w:ascii="宋体" w:hAnsi="宋体"/>
          <w:bCs/>
          <w:sz w:val="24"/>
        </w:rPr>
        <w:t>国铁运输至包头或榆林，再通过汽车运输至电厂，或者由包头经</w:t>
      </w:r>
      <w:r>
        <w:rPr>
          <w:rFonts w:ascii="宋体" w:hAnsi="宋体"/>
          <w:bCs/>
          <w:sz w:val="24"/>
        </w:rPr>
        <w:t>包神铁路运输运至大柳塔，然后通过小霍洛至大柳塔运煤专用道</w:t>
      </w:r>
      <w:r>
        <w:rPr>
          <w:rFonts w:hint="eastAsia" w:ascii="宋体" w:hAnsi="宋体"/>
          <w:bCs/>
          <w:sz w:val="24"/>
        </w:rPr>
        <w:t>路汽车运输</w:t>
      </w:r>
      <w:r>
        <w:rPr>
          <w:rFonts w:ascii="宋体" w:hAnsi="宋体"/>
          <w:bCs/>
          <w:sz w:val="24"/>
        </w:rPr>
        <w:t>至电厂。</w:t>
      </w:r>
    </w:p>
    <w:p>
      <w:pPr>
        <w:ind w:firstLine="480"/>
        <w:rPr>
          <w:rFonts w:ascii="宋体" w:hAnsi="宋体"/>
          <w:color w:val="000000"/>
          <w:sz w:val="24"/>
        </w:rPr>
      </w:pPr>
      <w:r>
        <w:rPr>
          <w:rFonts w:ascii="宋体" w:hAnsi="宋体"/>
          <w:color w:val="000000"/>
          <w:sz w:val="24"/>
        </w:rPr>
        <w:t>2.</w:t>
      </w:r>
      <w:r>
        <w:rPr>
          <w:rFonts w:hint="eastAsia" w:ascii="宋体" w:hAnsi="宋体"/>
          <w:color w:val="000000"/>
          <w:sz w:val="24"/>
        </w:rPr>
        <w:t>2</w:t>
      </w:r>
      <w:r>
        <w:rPr>
          <w:rFonts w:ascii="宋体" w:hAnsi="宋体"/>
          <w:color w:val="000000"/>
          <w:sz w:val="24"/>
        </w:rPr>
        <w:t>.2  公路</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ind w:firstLine="480"/>
        <w:rPr>
          <w:rFonts w:ascii="宋体" w:hAnsi="宋体"/>
          <w:bCs/>
          <w:color w:val="000000"/>
          <w:sz w:val="24"/>
        </w:rPr>
      </w:pPr>
      <w:r>
        <w:rPr>
          <w:rFonts w:ascii="宋体" w:hAnsi="宋体"/>
          <w:bCs/>
          <w:color w:val="000000"/>
          <w:sz w:val="24"/>
        </w:rPr>
        <w:t>国道主干线（G210）包西公路纵贯东胜矿区南北，由包头经达拉特旗、万利、东胜、伊金霍洛旗入陕。内蒙境内，全线为二级公路。</w:t>
      </w:r>
      <w:r>
        <w:rPr>
          <w:rFonts w:hint="eastAsia" w:ascii="宋体" w:hAnsi="宋体"/>
          <w:bCs/>
          <w:color w:val="000000"/>
          <w:sz w:val="24"/>
        </w:rPr>
        <w:t>包茂高速鄂尔多斯段北起</w:t>
      </w:r>
      <w:r>
        <w:rPr>
          <w:rFonts w:ascii="宋体" w:hAnsi="宋体"/>
          <w:bCs/>
          <w:color w:val="000000"/>
          <w:sz w:val="24"/>
        </w:rPr>
        <w:t>包头</w:t>
      </w:r>
      <w:r>
        <w:rPr>
          <w:rFonts w:hint="eastAsia" w:ascii="宋体" w:hAnsi="宋体"/>
          <w:bCs/>
          <w:color w:val="000000"/>
          <w:sz w:val="24"/>
        </w:rPr>
        <w:t>经</w:t>
      </w:r>
      <w:r>
        <w:rPr>
          <w:rFonts w:ascii="宋体" w:hAnsi="宋体"/>
          <w:bCs/>
          <w:color w:val="000000"/>
          <w:sz w:val="24"/>
        </w:rPr>
        <w:t>东胜</w:t>
      </w:r>
      <w:r>
        <w:rPr>
          <w:rFonts w:hint="eastAsia" w:ascii="宋体" w:hAnsi="宋体"/>
          <w:bCs/>
          <w:color w:val="000000"/>
          <w:sz w:val="24"/>
        </w:rPr>
        <w:t>、</w:t>
      </w:r>
      <w:r>
        <w:rPr>
          <w:rFonts w:ascii="宋体" w:hAnsi="宋体"/>
          <w:bCs/>
          <w:color w:val="000000"/>
          <w:sz w:val="24"/>
        </w:rPr>
        <w:t>阿镇</w:t>
      </w:r>
      <w:r>
        <w:rPr>
          <w:rFonts w:hint="eastAsia" w:ascii="宋体" w:hAnsi="宋体"/>
          <w:bCs/>
          <w:color w:val="000000"/>
          <w:sz w:val="24"/>
        </w:rPr>
        <w:t>、新街至榆林</w:t>
      </w:r>
      <w:r>
        <w:rPr>
          <w:rFonts w:ascii="宋体" w:hAnsi="宋体"/>
          <w:bCs/>
          <w:color w:val="000000"/>
          <w:sz w:val="24"/>
        </w:rPr>
        <w:t>已</w:t>
      </w:r>
      <w:r>
        <w:rPr>
          <w:rFonts w:hint="eastAsia" w:ascii="宋体" w:hAnsi="宋体"/>
          <w:bCs/>
          <w:color w:val="000000"/>
          <w:sz w:val="24"/>
        </w:rPr>
        <w:t>全线</w:t>
      </w:r>
      <w:r>
        <w:rPr>
          <w:rFonts w:ascii="宋体" w:hAnsi="宋体"/>
          <w:bCs/>
          <w:color w:val="000000"/>
          <w:sz w:val="24"/>
        </w:rPr>
        <w:t>建成。</w:t>
      </w:r>
    </w:p>
    <w:p>
      <w:pPr>
        <w:ind w:firstLine="480"/>
      </w:pPr>
      <w:r>
        <w:rPr>
          <w:rFonts w:ascii="宋体" w:hAnsi="宋体"/>
          <w:bCs/>
          <w:color w:val="000000"/>
          <w:sz w:val="24"/>
        </w:rPr>
        <w:t>包府公路起自包头经达旗、新庙，在杨家坡入陕。其中东胜至包头段已建成一级运煤专用公路。阿镇经松定霍洛至大柳塔的矿区公路在矿区西部南北向通过，为三级公路，是连接万利矿区、东胜、神东矿区的又一通道。</w:t>
      </w:r>
    </w:p>
    <w:p>
      <w:pPr>
        <w:adjustRightInd w:val="0"/>
        <w:snapToGrid w:val="0"/>
        <w:ind w:firstLine="560"/>
        <w:rPr>
          <w:rFonts w:ascii="宋体" w:hAnsi="宋体" w:cs="宋体"/>
          <w:szCs w:val="22"/>
        </w:rPr>
      </w:pPr>
    </w:p>
    <w:p>
      <w:pPr>
        <w:ind w:firstLine="560"/>
      </w:pPr>
    </w:p>
    <w:p>
      <w:pPr>
        <w:pStyle w:val="3"/>
        <w:numPr>
          <w:ilvl w:val="0"/>
          <w:numId w:val="1"/>
        </w:numPr>
        <w:adjustRightInd w:val="0"/>
        <w:snapToGrid w:val="0"/>
        <w:spacing w:before="0" w:after="0" w:line="360" w:lineRule="auto"/>
        <w:ind w:left="0" w:firstLine="0" w:firstLineChars="0"/>
        <w:rPr>
          <w:rFonts w:ascii="黑体" w:hAnsi="黑体" w:eastAsia="黑体" w:cs="黑体"/>
          <w:b w:val="0"/>
          <w:bCs w:val="0"/>
          <w:sz w:val="28"/>
          <w:szCs w:val="28"/>
        </w:rPr>
      </w:pPr>
      <w:r>
        <w:rPr>
          <w:rFonts w:hint="eastAsia" w:ascii="黑体" w:hAnsi="黑体" w:eastAsia="黑体" w:cs="黑体"/>
          <w:b w:val="0"/>
          <w:bCs w:val="0"/>
          <w:sz w:val="28"/>
          <w:szCs w:val="28"/>
        </w:rPr>
        <w:br w:type="page"/>
      </w:r>
      <w:bookmarkStart w:id="93" w:name="_Toc23739"/>
      <w:bookmarkStart w:id="94" w:name="_Toc12390"/>
      <w:bookmarkStart w:id="95" w:name="_Toc733"/>
      <w:bookmarkStart w:id="96" w:name="_Toc10013"/>
      <w:bookmarkStart w:id="97" w:name="_Toc9517"/>
      <w:bookmarkStart w:id="98" w:name="_Toc5630"/>
      <w:bookmarkStart w:id="99" w:name="_Toc16182"/>
      <w:bookmarkStart w:id="100" w:name="_Toc7612"/>
      <w:bookmarkStart w:id="101" w:name="_Toc29559"/>
      <w:r>
        <w:rPr>
          <w:rFonts w:hint="eastAsia" w:ascii="黑体" w:hAnsi="黑体" w:eastAsia="黑体" w:cs="黑体"/>
          <w:b w:val="0"/>
          <w:bCs w:val="0"/>
          <w:sz w:val="28"/>
          <w:szCs w:val="28"/>
        </w:rPr>
        <w:t>采购范围</w:t>
      </w:r>
      <w:bookmarkEnd w:id="65"/>
      <w:bookmarkEnd w:id="66"/>
      <w:bookmarkEnd w:id="67"/>
      <w:bookmarkEnd w:id="68"/>
      <w:bookmarkEnd w:id="69"/>
      <w:bookmarkEnd w:id="93"/>
      <w:bookmarkEnd w:id="94"/>
      <w:bookmarkEnd w:id="95"/>
      <w:bookmarkEnd w:id="96"/>
      <w:bookmarkEnd w:id="97"/>
      <w:bookmarkEnd w:id="98"/>
      <w:bookmarkEnd w:id="99"/>
      <w:bookmarkEnd w:id="100"/>
      <w:bookmarkEnd w:id="101"/>
    </w:p>
    <w:p>
      <w:pPr>
        <w:adjustRightInd w:val="0"/>
        <w:snapToGrid w:val="0"/>
        <w:ind w:firstLine="560"/>
        <w:rPr>
          <w:rFonts w:ascii="黑体" w:hAnsi="黑体" w:eastAsia="黑体" w:cs="黑体"/>
          <w:szCs w:val="22"/>
        </w:rPr>
      </w:pPr>
      <w:bookmarkStart w:id="102" w:name="_Toc10331"/>
      <w:bookmarkStart w:id="103" w:name="_Toc18032"/>
      <w:bookmarkStart w:id="104" w:name="_Toc58215119"/>
      <w:bookmarkStart w:id="105" w:name="_Toc276110199"/>
      <w:bookmarkStart w:id="106" w:name="_Toc5065"/>
      <w:bookmarkStart w:id="107" w:name="_Toc31027"/>
      <w:bookmarkStart w:id="108" w:name="_Toc23050"/>
      <w:bookmarkStart w:id="109" w:name="_Toc291245492"/>
      <w:bookmarkStart w:id="110" w:name="_Toc25183_WPSOffice_Level2"/>
      <w:bookmarkStart w:id="111" w:name="_Toc203403762"/>
      <w:bookmarkStart w:id="112" w:name="_Toc1115"/>
      <w:bookmarkStart w:id="113" w:name="_Toc11382"/>
      <w:bookmarkStart w:id="114" w:name="_Toc9652"/>
      <w:bookmarkStart w:id="115" w:name="_Toc18321"/>
      <w:bookmarkStart w:id="116" w:name="_Toc26240"/>
      <w:bookmarkStart w:id="117" w:name="_Toc28672"/>
      <w:bookmarkStart w:id="118" w:name="_Toc4126"/>
      <w:bookmarkStart w:id="119" w:name="_Toc63003167"/>
      <w:bookmarkStart w:id="120" w:name="_Toc10606"/>
      <w:bookmarkStart w:id="121" w:name="_Toc22397"/>
      <w:bookmarkStart w:id="122" w:name="_Toc278232836"/>
      <w:bookmarkStart w:id="123" w:name="_Toc12201"/>
      <w:bookmarkStart w:id="124" w:name="_Toc29703"/>
      <w:bookmarkStart w:id="125" w:name="_Toc21565"/>
      <w:bookmarkStart w:id="126" w:name="_Toc520193293"/>
      <w:bookmarkStart w:id="127" w:name="_Toc17959"/>
      <w:bookmarkStart w:id="128" w:name="_Toc11586"/>
      <w:bookmarkStart w:id="129" w:name="_Toc4575"/>
      <w:bookmarkStart w:id="130" w:name="_Toc19613"/>
      <w:bookmarkStart w:id="131" w:name="_Toc11280"/>
      <w:bookmarkStart w:id="132" w:name="_Toc2717"/>
      <w:bookmarkStart w:id="133" w:name="_Toc20029"/>
      <w:bookmarkStart w:id="134" w:name="_Toc7816"/>
      <w:bookmarkStart w:id="135" w:name="_Toc23466"/>
      <w:bookmarkStart w:id="136" w:name="_Toc10642"/>
      <w:bookmarkStart w:id="137" w:name="_Toc16756"/>
      <w:bookmarkStart w:id="138" w:name="_Toc24519"/>
      <w:r>
        <w:rPr>
          <w:rFonts w:hint="eastAsia" w:ascii="黑体" w:hAnsi="黑体" w:eastAsia="黑体" w:cs="黑体"/>
          <w:szCs w:val="22"/>
        </w:rPr>
        <w:t xml:space="preserve">3.1 </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黑体" w:hAnsi="黑体" w:eastAsia="黑体" w:cs="黑体"/>
          <w:szCs w:val="22"/>
        </w:rPr>
        <w:t>供货范围</w:t>
      </w:r>
      <w:bookmarkEnd w:id="130"/>
      <w:bookmarkEnd w:id="131"/>
      <w:bookmarkEnd w:id="132"/>
    </w:p>
    <w:p>
      <w:pPr>
        <w:adjustRightInd w:val="0"/>
        <w:snapToGrid w:val="0"/>
        <w:ind w:firstLine="560"/>
        <w:rPr>
          <w:rFonts w:ascii="宋体" w:hAnsi="宋体" w:cs="宋体"/>
          <w:szCs w:val="22"/>
        </w:rPr>
      </w:pPr>
      <w:r>
        <w:rPr>
          <w:rFonts w:hint="eastAsia" w:ascii="宋体" w:hAnsi="宋体" w:cs="宋体"/>
          <w:szCs w:val="22"/>
        </w:rPr>
        <w:t>3.1.1通用部分</w:t>
      </w:r>
    </w:p>
    <w:p>
      <w:pPr>
        <w:numPr>
          <w:ilvl w:val="0"/>
          <w:numId w:val="2"/>
        </w:numPr>
        <w:adjustRightInd w:val="0"/>
        <w:snapToGrid w:val="0"/>
        <w:ind w:firstLine="560"/>
        <w:rPr>
          <w:rFonts w:ascii="宋体" w:hAnsi="宋体" w:cs="宋体"/>
          <w:szCs w:val="22"/>
        </w:rPr>
      </w:pPr>
      <w:r>
        <w:rPr>
          <w:rFonts w:hint="eastAsia" w:ascii="宋体" w:hAnsi="宋体" w:cs="宋体"/>
          <w:szCs w:val="22"/>
        </w:rPr>
        <w:t>报价人应负责本项目需求物资的供货及验收，以及提供相应技术资料、技术服务基础服务及售后服务等。</w:t>
      </w:r>
    </w:p>
    <w:p>
      <w:pPr>
        <w:numPr>
          <w:ilvl w:val="0"/>
          <w:numId w:val="2"/>
        </w:numPr>
        <w:adjustRightInd w:val="0"/>
        <w:snapToGrid w:val="0"/>
        <w:ind w:firstLine="560"/>
        <w:rPr>
          <w:rFonts w:ascii="宋体" w:hAnsi="宋体" w:cs="宋体"/>
          <w:szCs w:val="22"/>
        </w:rPr>
      </w:pPr>
      <w:r>
        <w:rPr>
          <w:rFonts w:hint="eastAsia" w:ascii="宋体" w:hAnsi="宋体" w:cs="宋体"/>
          <w:szCs w:val="22"/>
        </w:rPr>
        <w:t>报价人</w:t>
      </w:r>
      <w:r>
        <w:rPr>
          <w:rFonts w:hint="eastAsia" w:ascii="宋体" w:hAnsi="宋体" w:cs="宋体"/>
          <w:szCs w:val="28"/>
        </w:rPr>
        <w:t>所供物资选用产品，必须符合国家或国际有关标准</w:t>
      </w:r>
      <w:r>
        <w:rPr>
          <w:rFonts w:hint="eastAsia" w:ascii="宋体" w:hAnsi="宋体" w:cs="宋体"/>
          <w:szCs w:val="22"/>
        </w:rPr>
        <w:t>。必须为全新的、先进的、成熟的、完整的和安全可靠的，且物资的技术经济性能符合本技术文件要求。报价人选用的物资不应含有特殊要求。</w:t>
      </w:r>
    </w:p>
    <w:p>
      <w:pPr>
        <w:numPr>
          <w:ilvl w:val="0"/>
          <w:numId w:val="2"/>
        </w:numPr>
        <w:adjustRightInd w:val="0"/>
        <w:snapToGrid w:val="0"/>
        <w:ind w:firstLine="560"/>
        <w:rPr>
          <w:rFonts w:ascii="宋体" w:hAnsi="宋体" w:cs="宋体"/>
          <w:szCs w:val="22"/>
        </w:rPr>
      </w:pPr>
      <w:r>
        <w:rPr>
          <w:rFonts w:hint="eastAsia" w:ascii="宋体" w:hAnsi="宋体" w:cs="宋体"/>
          <w:szCs w:val="22"/>
        </w:rPr>
        <w:t>报价人应按照本技术文件要求提供详细供货清单，清单中依次说明物资名称、型号（出具认证产品型号证书并且符合国家标准）、数量、产地、规格</w:t>
      </w:r>
      <w:r>
        <w:rPr>
          <w:rFonts w:hint="eastAsia"/>
          <w:szCs w:val="28"/>
        </w:rPr>
        <w:t>、</w:t>
      </w:r>
      <w:r>
        <w:rPr>
          <w:rFonts w:hint="eastAsia" w:ascii="宋体" w:hAnsi="宋体" w:cs="宋体"/>
          <w:szCs w:val="22"/>
        </w:rPr>
        <w:t>生产厂家等内容。</w:t>
      </w:r>
    </w:p>
    <w:p>
      <w:pPr>
        <w:numPr>
          <w:ilvl w:val="0"/>
          <w:numId w:val="2"/>
        </w:numPr>
        <w:adjustRightInd w:val="0"/>
        <w:snapToGrid w:val="0"/>
        <w:ind w:firstLine="560"/>
        <w:rPr>
          <w:rFonts w:ascii="宋体" w:hAnsi="宋体" w:cs="宋体"/>
          <w:szCs w:val="22"/>
        </w:rPr>
      </w:pPr>
      <w:r>
        <w:rPr>
          <w:rFonts w:hint="eastAsia" w:ascii="宋体" w:hAnsi="宋体" w:cs="宋体"/>
          <w:szCs w:val="22"/>
        </w:rPr>
        <w:t>报价人应根据采购人要求，派遣技术服务人员进行现场服务。</w:t>
      </w:r>
    </w:p>
    <w:bookmarkEnd w:id="133"/>
    <w:p>
      <w:pPr>
        <w:adjustRightInd w:val="0"/>
        <w:snapToGrid w:val="0"/>
        <w:ind w:firstLine="420"/>
        <w:jc w:val="center"/>
        <w:rPr>
          <w:rFonts w:ascii="宋体" w:hAnsi="宋体"/>
          <w:sz w:val="21"/>
          <w:szCs w:val="21"/>
        </w:rPr>
      </w:pPr>
      <w:bookmarkStart w:id="139" w:name="_Toc2125"/>
      <w:bookmarkStart w:id="140" w:name="_Toc14877"/>
      <w:bookmarkStart w:id="141" w:name="_Toc30552"/>
      <w:r>
        <w:rPr>
          <w:rFonts w:hint="eastAsia" w:ascii="宋体" w:hAnsi="宋体"/>
          <w:sz w:val="21"/>
          <w:szCs w:val="21"/>
        </w:rPr>
        <w:t>表1物资需求一览表</w:t>
      </w:r>
      <w:bookmarkEnd w:id="139"/>
      <w:bookmarkEnd w:id="140"/>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878"/>
        <w:gridCol w:w="1814"/>
        <w:gridCol w:w="1286"/>
        <w:gridCol w:w="1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pPr>
              <w:adjustRightInd w:val="0"/>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序号</w:t>
            </w:r>
          </w:p>
        </w:tc>
        <w:tc>
          <w:tcPr>
            <w:tcW w:w="1878" w:type="dxa"/>
            <w:vAlign w:val="center"/>
          </w:tcPr>
          <w:p>
            <w:pPr>
              <w:adjustRightInd w:val="0"/>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名称</w:t>
            </w:r>
          </w:p>
        </w:tc>
        <w:tc>
          <w:tcPr>
            <w:tcW w:w="1814" w:type="dxa"/>
            <w:vAlign w:val="center"/>
          </w:tcPr>
          <w:p>
            <w:pPr>
              <w:adjustRightInd w:val="0"/>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规格型号</w:t>
            </w:r>
          </w:p>
        </w:tc>
        <w:tc>
          <w:tcPr>
            <w:tcW w:w="1286" w:type="dxa"/>
            <w:vAlign w:val="center"/>
          </w:tcPr>
          <w:p>
            <w:pPr>
              <w:adjustRightInd w:val="0"/>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单位</w:t>
            </w:r>
          </w:p>
        </w:tc>
        <w:tc>
          <w:tcPr>
            <w:tcW w:w="1286" w:type="dxa"/>
            <w:vAlign w:val="center"/>
          </w:tcPr>
          <w:p>
            <w:pPr>
              <w:adjustRightInd w:val="0"/>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数量</w:t>
            </w:r>
          </w:p>
        </w:tc>
        <w:tc>
          <w:tcPr>
            <w:tcW w:w="1286" w:type="dxa"/>
            <w:vAlign w:val="center"/>
          </w:tcPr>
          <w:p>
            <w:pPr>
              <w:adjustRightInd w:val="0"/>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1" w:type="dxa"/>
            <w:vAlign w:val="center"/>
          </w:tcPr>
          <w:p>
            <w:pPr>
              <w:adjustRightInd w:val="0"/>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1</w:t>
            </w:r>
          </w:p>
        </w:tc>
        <w:tc>
          <w:tcPr>
            <w:tcW w:w="1878" w:type="dxa"/>
            <w:vAlign w:val="center"/>
          </w:tcPr>
          <w:p>
            <w:pPr>
              <w:widowControl/>
              <w:ind w:firstLine="400"/>
              <w:jc w:val="center"/>
              <w:textAlignment w:val="center"/>
              <w:rPr>
                <w:rFonts w:ascii="宋体" w:hAnsi="宋体" w:cs="宋体"/>
                <w:sz w:val="21"/>
                <w:szCs w:val="21"/>
              </w:rPr>
            </w:pPr>
            <w:r>
              <w:rPr>
                <w:rFonts w:hint="eastAsia" w:ascii="宋体" w:hAnsi="宋体" w:cs="宋体"/>
                <w:color w:val="000000"/>
                <w:kern w:val="0"/>
                <w:sz w:val="20"/>
                <w:lang w:bidi="ar"/>
              </w:rPr>
              <w:t>塔式起重机</w:t>
            </w:r>
          </w:p>
        </w:tc>
        <w:tc>
          <w:tcPr>
            <w:tcW w:w="1814" w:type="dxa"/>
            <w:vAlign w:val="center"/>
          </w:tcPr>
          <w:p>
            <w:pPr>
              <w:widowControl/>
              <w:ind w:firstLine="400"/>
              <w:jc w:val="center"/>
              <w:textAlignment w:val="center"/>
              <w:rPr>
                <w:rFonts w:ascii="宋体" w:hAnsi="宋体" w:cs="宋体"/>
                <w:sz w:val="21"/>
                <w:szCs w:val="21"/>
              </w:rPr>
            </w:pPr>
            <w:r>
              <w:rPr>
                <w:rFonts w:hint="eastAsia" w:ascii="宋体" w:hAnsi="宋体" w:cs="宋体"/>
                <w:color w:val="000000"/>
                <w:kern w:val="0"/>
                <w:sz w:val="20"/>
                <w:lang w:bidi="ar"/>
              </w:rPr>
              <w:t>BSXZ-35N/FT10\4t\30m\10m\5节</w:t>
            </w:r>
          </w:p>
        </w:tc>
        <w:tc>
          <w:tcPr>
            <w:tcW w:w="1286" w:type="dxa"/>
            <w:vAlign w:val="center"/>
          </w:tcPr>
          <w:p>
            <w:pPr>
              <w:widowControl/>
              <w:ind w:firstLine="400"/>
              <w:jc w:val="center"/>
              <w:textAlignment w:val="center"/>
              <w:rPr>
                <w:rFonts w:ascii="宋体" w:hAnsi="宋体" w:cs="宋体"/>
                <w:sz w:val="21"/>
                <w:szCs w:val="21"/>
              </w:rPr>
            </w:pPr>
            <w:r>
              <w:rPr>
                <w:rFonts w:hint="eastAsia" w:ascii="宋体" w:hAnsi="宋体" w:cs="宋体"/>
                <w:color w:val="000000"/>
                <w:kern w:val="0"/>
                <w:sz w:val="20"/>
                <w:lang w:bidi="ar"/>
              </w:rPr>
              <w:t>台</w:t>
            </w:r>
          </w:p>
        </w:tc>
        <w:tc>
          <w:tcPr>
            <w:tcW w:w="1286" w:type="dxa"/>
            <w:vAlign w:val="center"/>
          </w:tcPr>
          <w:p>
            <w:pPr>
              <w:widowControl/>
              <w:ind w:firstLine="400"/>
              <w:jc w:val="center"/>
              <w:textAlignment w:val="center"/>
              <w:rPr>
                <w:rFonts w:ascii="宋体" w:hAnsi="宋体" w:cs="宋体"/>
                <w:sz w:val="21"/>
                <w:szCs w:val="21"/>
              </w:rPr>
            </w:pPr>
            <w:r>
              <w:rPr>
                <w:rFonts w:hint="eastAsia" w:ascii="宋体" w:hAnsi="宋体" w:cs="宋体"/>
                <w:color w:val="000000"/>
                <w:kern w:val="0"/>
                <w:sz w:val="20"/>
                <w:lang w:bidi="ar"/>
              </w:rPr>
              <w:t>1</w:t>
            </w:r>
          </w:p>
        </w:tc>
        <w:tc>
          <w:tcPr>
            <w:tcW w:w="1286" w:type="dxa"/>
            <w:vAlign w:val="center"/>
          </w:tcPr>
          <w:p>
            <w:pPr>
              <w:adjustRightInd w:val="0"/>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含基础技术指导调试</w:t>
            </w:r>
          </w:p>
        </w:tc>
      </w:tr>
    </w:tbl>
    <w:p>
      <w:pPr>
        <w:numPr>
          <w:ilvl w:val="0"/>
          <w:numId w:val="3"/>
        </w:numPr>
        <w:adjustRightInd w:val="0"/>
        <w:snapToGrid w:val="0"/>
        <w:ind w:firstLine="560" w:firstLineChars="0"/>
        <w:outlineLvl w:val="0"/>
      </w:pPr>
      <w:bookmarkStart w:id="142" w:name="_Toc28271"/>
      <w:bookmarkStart w:id="143" w:name="_Toc6459"/>
      <w:bookmarkStart w:id="144" w:name="_Toc6575"/>
      <w:bookmarkStart w:id="145" w:name="_Toc24606_WPSOffice_Level2"/>
      <w:bookmarkStart w:id="146" w:name="_Toc3096"/>
      <w:bookmarkStart w:id="147" w:name="_Toc23987"/>
      <w:bookmarkStart w:id="148" w:name="_Toc4745"/>
      <w:bookmarkStart w:id="149" w:name="_Toc19619"/>
      <w:bookmarkStart w:id="150" w:name="_Toc24247"/>
      <w:r>
        <w:rPr>
          <w:rFonts w:hint="eastAsia" w:ascii="宋体" w:hAnsi="宋体" w:cs="宋体"/>
          <w:szCs w:val="22"/>
        </w:rPr>
        <w:t>物资需求说明：报价人所提供的产品必须满足现存使用要求，符合现场设计要求。</w:t>
      </w:r>
    </w:p>
    <w:bookmarkEnd w:id="142"/>
    <w:bookmarkEnd w:id="143"/>
    <w:bookmarkEnd w:id="144"/>
    <w:bookmarkEnd w:id="145"/>
    <w:bookmarkEnd w:id="146"/>
    <w:bookmarkEnd w:id="147"/>
    <w:bookmarkEnd w:id="148"/>
    <w:bookmarkEnd w:id="149"/>
    <w:bookmarkEnd w:id="150"/>
    <w:p>
      <w:pPr>
        <w:adjustRightInd w:val="0"/>
        <w:snapToGrid w:val="0"/>
        <w:ind w:firstLine="560"/>
        <w:rPr>
          <w:rFonts w:ascii="黑体" w:hAnsi="黑体" w:eastAsia="黑体" w:cs="黑体"/>
          <w:szCs w:val="22"/>
        </w:rPr>
      </w:pPr>
      <w:bookmarkStart w:id="151" w:name="_Toc16968"/>
      <w:bookmarkStart w:id="152" w:name="_Toc9971"/>
      <w:bookmarkStart w:id="153" w:name="_Toc12460"/>
      <w:bookmarkStart w:id="154" w:name="_Toc23997"/>
      <w:bookmarkStart w:id="155" w:name="_Toc26415"/>
      <w:bookmarkStart w:id="156" w:name="_Toc12762"/>
      <w:bookmarkStart w:id="157" w:name="_Toc16767"/>
      <w:bookmarkStart w:id="158" w:name="_Toc4146"/>
      <w:bookmarkStart w:id="159" w:name="_Toc23641_WPSOffice_Level2"/>
      <w:bookmarkStart w:id="160" w:name="_Toc18795"/>
      <w:bookmarkStart w:id="161" w:name="_Toc5563"/>
      <w:bookmarkStart w:id="162" w:name="_Toc14927"/>
      <w:r>
        <w:rPr>
          <w:rFonts w:hint="eastAsia" w:ascii="黑体" w:hAnsi="黑体" w:eastAsia="黑体" w:cs="黑体"/>
          <w:szCs w:val="22"/>
        </w:rPr>
        <w:t>3.2交货</w:t>
      </w:r>
      <w:bookmarkEnd w:id="151"/>
      <w:bookmarkEnd w:id="152"/>
      <w:bookmarkEnd w:id="153"/>
      <w:bookmarkEnd w:id="154"/>
      <w:bookmarkEnd w:id="155"/>
      <w:bookmarkEnd w:id="156"/>
      <w:bookmarkEnd w:id="157"/>
      <w:bookmarkEnd w:id="158"/>
      <w:bookmarkEnd w:id="159"/>
      <w:r>
        <w:rPr>
          <w:rFonts w:hint="eastAsia" w:ascii="黑体" w:hAnsi="黑体" w:eastAsia="黑体" w:cs="黑体"/>
          <w:szCs w:val="22"/>
        </w:rPr>
        <w:t>时间及地点</w:t>
      </w:r>
      <w:bookmarkEnd w:id="160"/>
      <w:bookmarkEnd w:id="161"/>
      <w:bookmarkEnd w:id="162"/>
    </w:p>
    <w:p>
      <w:pPr>
        <w:adjustRightInd w:val="0"/>
        <w:snapToGrid w:val="0"/>
        <w:ind w:left="560" w:leftChars="200" w:firstLine="0" w:firstLineChars="0"/>
        <w:rPr>
          <w:rFonts w:ascii="宋体" w:hAnsi="宋体" w:cs="宋体"/>
          <w:szCs w:val="22"/>
        </w:rPr>
      </w:pPr>
      <w:bookmarkStart w:id="163" w:name="_Toc29285"/>
      <w:bookmarkStart w:id="164" w:name="_Toc31501_WPSOffice_Level2"/>
      <w:bookmarkStart w:id="165" w:name="_Toc5910"/>
      <w:bookmarkStart w:id="166" w:name="_Toc17484"/>
      <w:bookmarkStart w:id="167" w:name="_Toc8958"/>
      <w:bookmarkStart w:id="168" w:name="_Toc22131"/>
      <w:bookmarkStart w:id="169" w:name="_Toc3824"/>
      <w:bookmarkStart w:id="170" w:name="_Toc29947"/>
      <w:bookmarkStart w:id="171" w:name="_Toc18714"/>
      <w:bookmarkStart w:id="172" w:name="_Toc25360"/>
      <w:bookmarkStart w:id="173" w:name="_Toc8993"/>
      <w:r>
        <w:rPr>
          <w:rFonts w:hint="eastAsia" w:ascii="宋体" w:hAnsi="宋体" w:cs="宋体"/>
          <w:szCs w:val="22"/>
        </w:rPr>
        <w:t>（1）交货地点：运输由投标人负责，交货地点为国电建投内蒙古能源有限公司布连电厂。</w:t>
      </w:r>
    </w:p>
    <w:p>
      <w:pPr>
        <w:adjustRightInd w:val="0"/>
        <w:snapToGrid w:val="0"/>
        <w:ind w:left="560" w:leftChars="200" w:firstLine="0" w:firstLineChars="0"/>
        <w:rPr>
          <w:rFonts w:ascii="宋体" w:hAnsi="宋体" w:cs="宋体"/>
          <w:szCs w:val="22"/>
        </w:rPr>
      </w:pPr>
      <w:r>
        <w:rPr>
          <w:rFonts w:hint="eastAsia" w:ascii="宋体" w:hAnsi="宋体" w:cs="宋体"/>
          <w:szCs w:val="22"/>
        </w:rPr>
        <w:t>（2）交货时间：供货方在接到中标通知后，15天内按技术要求型号、规格和数量送货到现场，并负责基础技术指导安装调试。</w:t>
      </w:r>
    </w:p>
    <w:bookmarkEnd w:id="141"/>
    <w:bookmarkEnd w:id="163"/>
    <w:bookmarkEnd w:id="164"/>
    <w:bookmarkEnd w:id="165"/>
    <w:bookmarkEnd w:id="166"/>
    <w:bookmarkEnd w:id="167"/>
    <w:bookmarkEnd w:id="168"/>
    <w:bookmarkEnd w:id="169"/>
    <w:bookmarkEnd w:id="170"/>
    <w:bookmarkEnd w:id="171"/>
    <w:bookmarkEnd w:id="172"/>
    <w:bookmarkEnd w:id="173"/>
    <w:p>
      <w:pPr>
        <w:pStyle w:val="3"/>
        <w:numPr>
          <w:ilvl w:val="0"/>
          <w:numId w:val="1"/>
        </w:numPr>
        <w:adjustRightInd w:val="0"/>
        <w:snapToGrid w:val="0"/>
        <w:spacing w:before="0" w:after="0" w:line="360" w:lineRule="auto"/>
        <w:ind w:left="0" w:firstLine="0" w:firstLineChars="0"/>
        <w:rPr>
          <w:rFonts w:ascii="黑体" w:hAnsi="黑体" w:eastAsia="黑体" w:cs="黑体"/>
          <w:b w:val="0"/>
          <w:bCs w:val="0"/>
          <w:sz w:val="28"/>
          <w:szCs w:val="28"/>
        </w:rPr>
      </w:pPr>
      <w:r>
        <w:rPr>
          <w:rFonts w:hint="eastAsia" w:ascii="黑体" w:hAnsi="黑体" w:eastAsia="黑体" w:cs="黑体"/>
          <w:b w:val="0"/>
          <w:bCs w:val="0"/>
          <w:sz w:val="28"/>
          <w:szCs w:val="28"/>
        </w:rPr>
        <w:br w:type="page"/>
      </w:r>
      <w:bookmarkStart w:id="174" w:name="_Toc20618"/>
      <w:bookmarkStart w:id="175" w:name="_Toc22172"/>
      <w:bookmarkStart w:id="176" w:name="_Toc30603"/>
      <w:bookmarkStart w:id="177" w:name="_Toc2130"/>
      <w:bookmarkStart w:id="178" w:name="_Toc20497"/>
      <w:bookmarkStart w:id="179" w:name="_Toc6075"/>
      <w:bookmarkStart w:id="180" w:name="_Toc27641"/>
      <w:bookmarkStart w:id="181" w:name="_Toc2221"/>
      <w:bookmarkStart w:id="182" w:name="_Toc3797"/>
      <w:r>
        <w:rPr>
          <w:rFonts w:hint="eastAsia" w:ascii="黑体" w:hAnsi="黑体" w:eastAsia="黑体" w:cs="黑体"/>
          <w:b w:val="0"/>
          <w:bCs w:val="0"/>
          <w:sz w:val="28"/>
          <w:szCs w:val="28"/>
        </w:rPr>
        <w:t>标准与规范</w:t>
      </w:r>
      <w:bookmarkEnd w:id="134"/>
      <w:bookmarkEnd w:id="135"/>
      <w:bookmarkEnd w:id="136"/>
      <w:bookmarkEnd w:id="137"/>
      <w:bookmarkEnd w:id="138"/>
      <w:bookmarkEnd w:id="174"/>
      <w:bookmarkEnd w:id="175"/>
      <w:bookmarkEnd w:id="176"/>
      <w:bookmarkEnd w:id="177"/>
      <w:bookmarkEnd w:id="178"/>
      <w:bookmarkEnd w:id="179"/>
      <w:bookmarkEnd w:id="180"/>
      <w:bookmarkEnd w:id="181"/>
      <w:bookmarkEnd w:id="182"/>
    </w:p>
    <w:p>
      <w:pPr>
        <w:adjustRightInd w:val="0"/>
        <w:snapToGrid w:val="0"/>
        <w:ind w:firstLine="560"/>
        <w:rPr>
          <w:rFonts w:ascii="黑体" w:hAnsi="黑体" w:eastAsia="黑体" w:cs="黑体"/>
          <w:szCs w:val="22"/>
        </w:rPr>
      </w:pPr>
      <w:bookmarkStart w:id="183" w:name="_Toc5913"/>
      <w:bookmarkStart w:id="184" w:name="_Toc26095"/>
      <w:bookmarkStart w:id="185" w:name="_Toc2197"/>
      <w:bookmarkStart w:id="186" w:name="_Toc4337"/>
      <w:bookmarkStart w:id="187" w:name="_Toc24943"/>
      <w:bookmarkStart w:id="188" w:name="_Toc32597"/>
      <w:bookmarkStart w:id="189" w:name="_Toc7951"/>
      <w:bookmarkStart w:id="190" w:name="_Toc5710"/>
      <w:bookmarkStart w:id="191" w:name="_Toc6436"/>
      <w:bookmarkStart w:id="192" w:name="_Toc32359"/>
      <w:bookmarkStart w:id="193" w:name="_Toc16633"/>
      <w:bookmarkStart w:id="194" w:name="_Toc15717"/>
      <w:bookmarkStart w:id="195" w:name="_Toc23756"/>
      <w:bookmarkStart w:id="196" w:name="_Toc15412"/>
      <w:bookmarkStart w:id="197" w:name="_Toc22153"/>
      <w:r>
        <w:rPr>
          <w:rFonts w:hint="eastAsia" w:ascii="黑体" w:hAnsi="黑体" w:eastAsia="黑体" w:cs="黑体"/>
          <w:szCs w:val="22"/>
        </w:rPr>
        <w:t>4.1通用部分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numPr>
          <w:ilvl w:val="0"/>
          <w:numId w:val="4"/>
        </w:numPr>
        <w:adjustRightInd w:val="0"/>
        <w:snapToGrid w:val="0"/>
        <w:ind w:firstLine="560"/>
        <w:rPr>
          <w:rFonts w:ascii="宋体" w:hAnsi="宋体" w:cs="宋体"/>
          <w:szCs w:val="22"/>
        </w:rPr>
      </w:pPr>
      <w:r>
        <w:rPr>
          <w:rFonts w:hint="eastAsia" w:ascii="宋体" w:hAnsi="宋体" w:cs="宋体"/>
          <w:szCs w:val="22"/>
        </w:rPr>
        <w:t>本采购项目应遵循有关国际通用标准和规范、中国国家标准和规范、行业标准和规范，以及在合同实施期间以上相应标准和规范的修改，以及新颁布的标准和规范。除合同另有规定外，如</w:t>
      </w:r>
      <w:r>
        <w:rPr>
          <w:rFonts w:hint="eastAsia" w:ascii="宋体" w:hAnsi="宋体" w:cs="黑体"/>
          <w:szCs w:val="22"/>
        </w:rPr>
        <w:t>采用进口或引进技术或合资或合作产品，还应遵守产品原产地、采用的技术合作或支持方的国家标准</w:t>
      </w:r>
      <w:r>
        <w:rPr>
          <w:rFonts w:hint="eastAsia" w:ascii="宋体" w:hAnsi="宋体" w:cs="宋体"/>
          <w:szCs w:val="22"/>
        </w:rPr>
        <w:t>。当上述标准不一致时按高标准执行。</w:t>
      </w:r>
    </w:p>
    <w:p>
      <w:pPr>
        <w:numPr>
          <w:ilvl w:val="0"/>
          <w:numId w:val="4"/>
        </w:numPr>
        <w:adjustRightInd w:val="0"/>
        <w:snapToGrid w:val="0"/>
        <w:ind w:firstLine="560"/>
        <w:rPr>
          <w:rFonts w:ascii="宋体" w:hAnsi="宋体" w:cs="黑体"/>
          <w:szCs w:val="22"/>
        </w:rPr>
      </w:pPr>
      <w:r>
        <w:rPr>
          <w:rFonts w:hint="eastAsia" w:ascii="宋体" w:hAnsi="宋体" w:cs="宋体"/>
          <w:szCs w:val="22"/>
        </w:rPr>
        <w:t>具体标准和规范见专用部分，如专用部分未单独列出，则按国际通用、国家及行业标准和规范中相应最高要求实施。</w:t>
      </w:r>
    </w:p>
    <w:p>
      <w:pPr>
        <w:numPr>
          <w:ilvl w:val="0"/>
          <w:numId w:val="4"/>
        </w:numPr>
        <w:adjustRightInd w:val="0"/>
        <w:snapToGrid w:val="0"/>
        <w:ind w:firstLine="560"/>
        <w:rPr>
          <w:rFonts w:ascii="宋体" w:hAnsi="宋体" w:cs="黑体"/>
          <w:szCs w:val="22"/>
        </w:rPr>
      </w:pPr>
      <w:r>
        <w:rPr>
          <w:rFonts w:hint="eastAsia" w:ascii="宋体" w:hAnsi="宋体" w:cs="宋体"/>
          <w:szCs w:val="22"/>
        </w:rPr>
        <w:t>本项目在执行规范、标准要求外，还须执行国家能源投资集团有限责任公司和采购人的相关管理文件要求。</w:t>
      </w:r>
    </w:p>
    <w:p>
      <w:pPr>
        <w:adjustRightInd w:val="0"/>
        <w:snapToGrid w:val="0"/>
        <w:ind w:firstLine="560"/>
        <w:rPr>
          <w:rFonts w:ascii="黑体" w:hAnsi="黑体" w:eastAsia="黑体" w:cs="黑体"/>
          <w:szCs w:val="22"/>
        </w:rPr>
      </w:pPr>
      <w:bookmarkStart w:id="198" w:name="_Toc2580"/>
      <w:bookmarkStart w:id="199" w:name="_Toc12970"/>
      <w:bookmarkStart w:id="200" w:name="_Toc28513"/>
      <w:bookmarkStart w:id="201" w:name="_Toc23320_WPSOffice_Level2"/>
      <w:bookmarkStart w:id="202" w:name="_Toc9643"/>
      <w:bookmarkStart w:id="203" w:name="_Toc22012"/>
      <w:bookmarkStart w:id="204" w:name="_Toc21591_WPSOffice_Level2"/>
      <w:bookmarkStart w:id="205" w:name="_Toc27168"/>
      <w:bookmarkStart w:id="206" w:name="_Toc4324"/>
      <w:bookmarkStart w:id="207" w:name="_Toc4892"/>
      <w:bookmarkStart w:id="208" w:name="_Toc885"/>
      <w:bookmarkStart w:id="209" w:name="_Toc13191_WPSOffice_Level2"/>
      <w:r>
        <w:rPr>
          <w:rFonts w:hint="eastAsia" w:ascii="黑体" w:hAnsi="黑体" w:eastAsia="黑体" w:cs="黑体"/>
          <w:szCs w:val="22"/>
        </w:rPr>
        <w:t>4.2专用部分</w:t>
      </w:r>
      <w:bookmarkEnd w:id="198"/>
      <w:bookmarkEnd w:id="199"/>
      <w:bookmarkEnd w:id="200"/>
      <w:bookmarkEnd w:id="201"/>
      <w:bookmarkEnd w:id="202"/>
      <w:bookmarkEnd w:id="203"/>
      <w:bookmarkEnd w:id="204"/>
      <w:bookmarkEnd w:id="205"/>
      <w:bookmarkEnd w:id="206"/>
      <w:bookmarkEnd w:id="207"/>
      <w:bookmarkEnd w:id="208"/>
      <w:bookmarkEnd w:id="209"/>
    </w:p>
    <w:p>
      <w:pPr>
        <w:adjustRightInd w:val="0"/>
        <w:snapToGrid w:val="0"/>
        <w:ind w:firstLine="560"/>
        <w:rPr>
          <w:rFonts w:ascii="宋体" w:hAnsi="宋体" w:cs="宋体"/>
          <w:szCs w:val="22"/>
        </w:rPr>
      </w:pPr>
      <w:r>
        <w:rPr>
          <w:rFonts w:hint="eastAsia" w:ascii="宋体" w:hAnsi="宋体" w:cs="宋体"/>
          <w:szCs w:val="22"/>
        </w:rPr>
        <w:t>本项目所适用标准和规范见下（包括但不限于，其中没有标注日期的标准，其最新版本适用于本项目）：</w:t>
      </w:r>
    </w:p>
    <w:p>
      <w:pPr>
        <w:adjustRightInd w:val="0"/>
        <w:snapToGrid w:val="0"/>
        <w:ind w:firstLine="560"/>
        <w:rPr>
          <w:rFonts w:ascii="宋体" w:hAnsi="宋体" w:cs="宋体"/>
          <w:szCs w:val="22"/>
        </w:rPr>
      </w:pPr>
      <w:r>
        <w:rPr>
          <w:rFonts w:hint="eastAsia" w:ascii="宋体" w:hAnsi="宋体" w:cs="宋体"/>
          <w:szCs w:val="22"/>
        </w:rPr>
        <w:t>（1）《塔式起重机安全规程》</w:t>
      </w:r>
      <w:r>
        <w:rPr>
          <w:rFonts w:ascii="宋体" w:hAnsi="宋体" w:cs="宋体"/>
          <w:szCs w:val="22"/>
        </w:rPr>
        <w:t>GB5144</w:t>
      </w:r>
      <w:r>
        <w:rPr>
          <w:rFonts w:hint="eastAsia" w:ascii="宋体" w:hAnsi="宋体" w:cs="宋体"/>
          <w:szCs w:val="22"/>
        </w:rPr>
        <w:t>-</w:t>
      </w:r>
      <w:r>
        <w:rPr>
          <w:rFonts w:ascii="宋体" w:hAnsi="宋体" w:cs="宋体"/>
          <w:szCs w:val="22"/>
        </w:rPr>
        <w:t>2006</w:t>
      </w:r>
      <w:r>
        <w:rPr>
          <w:rFonts w:hint="eastAsia" w:ascii="宋体" w:hAnsi="宋体" w:cs="宋体"/>
          <w:szCs w:val="22"/>
        </w:rPr>
        <w:t>。</w:t>
      </w:r>
    </w:p>
    <w:p>
      <w:pPr>
        <w:adjustRightInd w:val="0"/>
        <w:snapToGrid w:val="0"/>
        <w:ind w:firstLine="560"/>
        <w:rPr>
          <w:rFonts w:ascii="宋体" w:hAnsi="宋体" w:cs="宋体"/>
          <w:szCs w:val="22"/>
        </w:rPr>
      </w:pPr>
      <w:bookmarkStart w:id="210" w:name="_Toc31350"/>
      <w:bookmarkStart w:id="211" w:name="_Toc32594"/>
      <w:bookmarkStart w:id="212" w:name="_Toc289"/>
      <w:bookmarkStart w:id="213" w:name="_Toc15977"/>
      <w:bookmarkStart w:id="214" w:name="_Toc23459"/>
      <w:r>
        <w:rPr>
          <w:rFonts w:hint="eastAsia" w:ascii="宋体" w:hAnsi="宋体" w:cs="宋体"/>
          <w:szCs w:val="22"/>
        </w:rPr>
        <w:t>（2）《塔式起重机安全规程》GB50007-2011 。</w:t>
      </w:r>
    </w:p>
    <w:p>
      <w:pPr>
        <w:adjustRightInd w:val="0"/>
        <w:snapToGrid w:val="0"/>
        <w:ind w:firstLine="560"/>
        <w:rPr>
          <w:rFonts w:ascii="宋体" w:hAnsi="宋体" w:cs="宋体"/>
          <w:szCs w:val="22"/>
        </w:rPr>
      </w:pPr>
      <w:r>
        <w:rPr>
          <w:rFonts w:hint="eastAsia" w:ascii="宋体" w:hAnsi="宋体" w:cs="宋体"/>
          <w:szCs w:val="22"/>
        </w:rPr>
        <w:t>（3）《</w:t>
      </w:r>
      <w:r>
        <w:rPr>
          <w:rFonts w:hint="eastAsia"/>
          <w:color w:val="000000"/>
        </w:rPr>
        <w:t>起重机整机的抗倾翻稳定性</w:t>
      </w:r>
      <w:r>
        <w:rPr>
          <w:rFonts w:hint="eastAsia" w:ascii="宋体" w:hAnsi="宋体" w:cs="宋体"/>
          <w:szCs w:val="22"/>
        </w:rPr>
        <w:t>》GBT13752。</w:t>
      </w:r>
    </w:p>
    <w:p>
      <w:pPr>
        <w:adjustRightInd w:val="0"/>
        <w:snapToGrid w:val="0"/>
        <w:ind w:firstLine="560"/>
        <w:rPr>
          <w:rFonts w:hint="eastAsia" w:ascii="宋体" w:hAnsi="宋体" w:cs="宋体"/>
          <w:szCs w:val="22"/>
        </w:rPr>
      </w:pPr>
      <w:r>
        <w:rPr>
          <w:rFonts w:hint="eastAsia" w:ascii="宋体" w:hAnsi="宋体" w:cs="宋体"/>
          <w:szCs w:val="22"/>
        </w:rPr>
        <w:t>（4）《</w:t>
      </w:r>
      <w:r>
        <w:rPr>
          <w:rFonts w:hint="eastAsia"/>
          <w:color w:val="000000"/>
        </w:rPr>
        <w:t>建筑机械临时用电安全规程</w:t>
      </w:r>
      <w:r>
        <w:rPr>
          <w:rFonts w:hint="eastAsia" w:ascii="宋体" w:hAnsi="宋体" w:cs="宋体"/>
          <w:szCs w:val="22"/>
        </w:rPr>
        <w:t>》JGJ46-2005。</w:t>
      </w:r>
    </w:p>
    <w:p>
      <w:pPr>
        <w:adjustRightInd w:val="0"/>
        <w:snapToGrid w:val="0"/>
        <w:ind w:firstLine="560"/>
        <w:rPr>
          <w:rFonts w:hint="eastAsia" w:ascii="宋体" w:hAnsi="宋体" w:cs="宋体"/>
          <w:szCs w:val="22"/>
        </w:rPr>
      </w:pPr>
      <w:r>
        <w:rPr>
          <w:rFonts w:hint="eastAsia" w:ascii="宋体" w:hAnsi="宋体" w:cs="宋体"/>
          <w:szCs w:val="22"/>
        </w:rPr>
        <w:t>（5）《钢丝绳电动葫芦试验方法》JB/T9008.4-1999。</w:t>
      </w:r>
    </w:p>
    <w:p>
      <w:pPr>
        <w:adjustRightInd w:val="0"/>
        <w:snapToGrid w:val="0"/>
        <w:ind w:firstLine="560"/>
        <w:rPr>
          <w:rFonts w:hint="eastAsia" w:ascii="宋体" w:hAnsi="宋体" w:cs="宋体"/>
          <w:szCs w:val="22"/>
        </w:rPr>
      </w:pPr>
      <w:r>
        <w:rPr>
          <w:rFonts w:hint="eastAsia" w:ascii="宋体" w:hAnsi="宋体" w:cs="宋体"/>
          <w:szCs w:val="22"/>
        </w:rPr>
        <w:t>（6）《起重机安全规程》GB6067。</w:t>
      </w:r>
    </w:p>
    <w:p>
      <w:pPr>
        <w:adjustRightInd w:val="0"/>
        <w:snapToGrid w:val="0"/>
        <w:ind w:firstLine="560"/>
        <w:rPr>
          <w:rFonts w:hint="eastAsia" w:ascii="宋体" w:hAnsi="宋体" w:cs="宋体"/>
          <w:szCs w:val="22"/>
        </w:rPr>
      </w:pPr>
      <w:r>
        <w:rPr>
          <w:rFonts w:hint="eastAsia" w:ascii="宋体" w:hAnsi="宋体" w:cs="宋体"/>
          <w:szCs w:val="22"/>
        </w:rPr>
        <w:t>（7）《起重设备安装工程施工及验收规范》GB50278。</w:t>
      </w:r>
    </w:p>
    <w:p>
      <w:pPr>
        <w:pStyle w:val="2"/>
        <w:ind w:firstLine="643"/>
      </w:pPr>
    </w:p>
    <w:p>
      <w:pPr>
        <w:pStyle w:val="2"/>
        <w:ind w:firstLine="643"/>
      </w:pPr>
    </w:p>
    <w:p>
      <w:pPr>
        <w:adjustRightInd w:val="0"/>
        <w:snapToGrid w:val="0"/>
        <w:ind w:firstLine="2800" w:firstLineChars="1000"/>
        <w:rPr>
          <w:rFonts w:ascii="宋体" w:hAnsi="宋体" w:cs="宋体"/>
          <w:szCs w:val="22"/>
        </w:rPr>
      </w:pPr>
      <w:r>
        <w:rPr>
          <w:rFonts w:hint="eastAsia" w:ascii="黑体" w:hAnsi="黑体" w:eastAsia="黑体" w:cs="黑体"/>
          <w:szCs w:val="28"/>
        </w:rPr>
        <w:br w:type="page"/>
      </w:r>
      <w:bookmarkStart w:id="215" w:name="_Toc3454"/>
      <w:bookmarkStart w:id="216" w:name="_Toc27372"/>
      <w:bookmarkStart w:id="217" w:name="_Toc13287"/>
      <w:bookmarkStart w:id="218" w:name="_Toc18010"/>
      <w:bookmarkStart w:id="219" w:name="_Toc26882"/>
      <w:bookmarkStart w:id="220" w:name="_Toc24555"/>
      <w:bookmarkStart w:id="221" w:name="_Toc32245"/>
      <w:bookmarkStart w:id="222" w:name="_Toc20966"/>
      <w:bookmarkStart w:id="223" w:name="_Toc891"/>
      <w:r>
        <w:rPr>
          <w:rFonts w:hint="eastAsia" w:ascii="黑体" w:hAnsi="黑体" w:eastAsia="黑体" w:cs="黑体"/>
          <w:szCs w:val="28"/>
        </w:rPr>
        <w:t>第五章  技术要求</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adjustRightInd w:val="0"/>
        <w:snapToGrid w:val="0"/>
        <w:ind w:firstLine="560"/>
        <w:rPr>
          <w:rFonts w:ascii="宋体" w:hAnsi="宋体" w:cs="宋体"/>
          <w:szCs w:val="28"/>
        </w:rPr>
      </w:pPr>
      <w:bookmarkStart w:id="224" w:name="_Toc16451"/>
      <w:bookmarkStart w:id="225" w:name="_Toc12685"/>
      <w:bookmarkStart w:id="226" w:name="_Toc28037"/>
      <w:bookmarkStart w:id="227" w:name="_Toc20406"/>
      <w:bookmarkStart w:id="228" w:name="_Toc14396"/>
      <w:bookmarkStart w:id="229" w:name="_Toc20951"/>
      <w:bookmarkStart w:id="230" w:name="_Toc30126"/>
      <w:bookmarkStart w:id="231" w:name="_Toc14730"/>
      <w:bookmarkStart w:id="232" w:name="_Toc15872"/>
      <w:bookmarkStart w:id="233" w:name="_Toc12857"/>
      <w:bookmarkStart w:id="234" w:name="_Toc12177"/>
      <w:bookmarkStart w:id="235" w:name="_Toc4198"/>
      <w:bookmarkStart w:id="236" w:name="_Toc337"/>
      <w:bookmarkStart w:id="237" w:name="_Toc7309"/>
      <w:bookmarkStart w:id="238" w:name="_Toc13952"/>
      <w:r>
        <w:rPr>
          <w:rFonts w:hint="eastAsia" w:ascii="黑体" w:hAnsi="黑体" w:eastAsia="黑体" w:cs="黑体"/>
          <w:szCs w:val="22"/>
        </w:rPr>
        <w:t>5.1性能要求</w:t>
      </w:r>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黑体" w:hAnsi="黑体" w:eastAsia="黑体" w:cs="黑体"/>
          <w:szCs w:val="22"/>
        </w:rPr>
        <w:t xml:space="preserve"> </w:t>
      </w:r>
    </w:p>
    <w:p>
      <w:pPr>
        <w:ind w:firstLine="560"/>
        <w:rPr>
          <w:rFonts w:hint="eastAsia"/>
          <w:szCs w:val="28"/>
        </w:rPr>
      </w:pPr>
      <w:r>
        <w:rPr>
          <w:rFonts w:hint="eastAsia" w:ascii="宋体" w:hAnsi="宋体"/>
          <w:color w:val="000000"/>
          <w:szCs w:val="24"/>
        </w:rPr>
        <w:t>（1）</w:t>
      </w:r>
      <w:r>
        <w:rPr>
          <w:rFonts w:hint="eastAsia"/>
          <w:szCs w:val="28"/>
        </w:rPr>
        <w:t>本机主要由罐笼、立柱、支座、摆臂、减速机</w:t>
      </w:r>
      <w:r>
        <w:rPr>
          <w:rFonts w:hint="eastAsia"/>
          <w:szCs w:val="28"/>
          <w:lang w:eastAsia="zh-CN"/>
        </w:rPr>
        <w:t>、</w:t>
      </w:r>
      <w:r>
        <w:rPr>
          <w:rFonts w:hint="eastAsia"/>
          <w:szCs w:val="28"/>
        </w:rPr>
        <w:t>电动葫芦及</w:t>
      </w:r>
      <w:r>
        <w:rPr>
          <w:rFonts w:hint="eastAsia"/>
          <w:szCs w:val="28"/>
          <w:lang w:eastAsia="zh-CN"/>
        </w:rPr>
        <w:t>旋转机构</w:t>
      </w:r>
      <w:r>
        <w:rPr>
          <w:rFonts w:hint="eastAsia"/>
          <w:szCs w:val="28"/>
        </w:rPr>
        <w:t>等组成。</w:t>
      </w:r>
    </w:p>
    <w:p>
      <w:pPr>
        <w:ind w:firstLine="560"/>
        <w:rPr>
          <w:szCs w:val="28"/>
        </w:rPr>
      </w:pPr>
      <w:r>
        <w:rPr>
          <w:rFonts w:hint="eastAsia"/>
          <w:szCs w:val="28"/>
        </w:rPr>
        <w:t>（2）电气控制</w:t>
      </w:r>
      <w:r>
        <w:rPr>
          <w:rFonts w:hint="eastAsia"/>
          <w:szCs w:val="28"/>
          <w:lang w:eastAsia="zh-CN"/>
        </w:rPr>
        <w:t>机构应</w:t>
      </w:r>
      <w:r>
        <w:rPr>
          <w:rFonts w:hint="eastAsia"/>
          <w:szCs w:val="28"/>
        </w:rPr>
        <w:t>安装在</w:t>
      </w:r>
      <w:r>
        <w:rPr>
          <w:rFonts w:hint="eastAsia"/>
          <w:szCs w:val="28"/>
          <w:lang w:eastAsia="zh-CN"/>
        </w:rPr>
        <w:t>立柱</w:t>
      </w:r>
      <w:r>
        <w:rPr>
          <w:rFonts w:hint="eastAsia"/>
          <w:szCs w:val="28"/>
        </w:rPr>
        <w:t>上</w:t>
      </w:r>
      <w:r>
        <w:rPr>
          <w:rFonts w:hint="eastAsia"/>
          <w:szCs w:val="28"/>
          <w:lang w:eastAsia="zh-CN"/>
        </w:rPr>
        <w:t>，</w:t>
      </w:r>
      <w:r>
        <w:rPr>
          <w:rFonts w:hint="eastAsia"/>
          <w:szCs w:val="28"/>
        </w:rPr>
        <w:t>摆臂</w:t>
      </w:r>
      <w:r>
        <w:rPr>
          <w:rFonts w:hint="eastAsia"/>
          <w:szCs w:val="28"/>
          <w:lang w:eastAsia="zh-CN"/>
        </w:rPr>
        <w:t>摆</w:t>
      </w:r>
      <w:r>
        <w:rPr>
          <w:rFonts w:hint="eastAsia"/>
          <w:szCs w:val="28"/>
        </w:rPr>
        <w:t>动</w:t>
      </w:r>
      <w:r>
        <w:rPr>
          <w:rFonts w:hint="eastAsia"/>
          <w:szCs w:val="28"/>
          <w:lang w:eastAsia="zh-CN"/>
        </w:rPr>
        <w:t>角度为</w:t>
      </w:r>
      <w:r>
        <w:rPr>
          <w:rFonts w:hint="eastAsia"/>
          <w:szCs w:val="28"/>
          <w:lang w:val="en-US" w:eastAsia="zh-CN"/>
        </w:rPr>
        <w:t>360度</w:t>
      </w:r>
      <w:r>
        <w:rPr>
          <w:rFonts w:hint="eastAsia"/>
          <w:szCs w:val="28"/>
        </w:rPr>
        <w:t xml:space="preserve">。 </w:t>
      </w:r>
    </w:p>
    <w:p>
      <w:pPr>
        <w:ind w:firstLine="560"/>
        <w:rPr>
          <w:szCs w:val="28"/>
        </w:rPr>
      </w:pPr>
      <w:r>
        <w:rPr>
          <w:rFonts w:hint="eastAsia"/>
          <w:szCs w:val="28"/>
        </w:rPr>
        <w:t xml:space="preserve"> </w:t>
      </w:r>
    </w:p>
    <w:p>
      <w:pPr>
        <w:snapToGrid w:val="0"/>
        <w:ind w:right="210" w:firstLine="560"/>
        <w:rPr>
          <w:i/>
          <w:szCs w:val="28"/>
        </w:rPr>
      </w:pPr>
      <w:r>
        <w:rPr>
          <w:rFonts w:hint="eastAsia"/>
          <w:szCs w:val="28"/>
        </w:rPr>
        <w:t>（</w:t>
      </w:r>
      <w:r>
        <w:rPr>
          <w:rFonts w:hint="eastAsia"/>
          <w:szCs w:val="28"/>
          <w:lang w:val="en-US" w:eastAsia="zh-CN"/>
        </w:rPr>
        <w:t>3</w:t>
      </w:r>
      <w:r>
        <w:rPr>
          <w:rFonts w:hint="eastAsia"/>
          <w:szCs w:val="28"/>
        </w:rPr>
        <w:t>）本机操作通过电动遥控以及远程遥控实现。电动装置有十二个按钮，分别控制快升、暂停、快降左右回转以及葫芦小车的水平前后行走。</w:t>
      </w:r>
    </w:p>
    <w:p>
      <w:pPr>
        <w:snapToGrid w:val="0"/>
        <w:ind w:right="210" w:firstLine="560"/>
        <w:rPr>
          <w:szCs w:val="28"/>
        </w:rPr>
      </w:pPr>
      <w:r>
        <w:rPr>
          <w:rFonts w:hint="eastAsia"/>
          <w:szCs w:val="28"/>
        </w:rPr>
        <w:t>（</w:t>
      </w:r>
      <w:r>
        <w:rPr>
          <w:rFonts w:hint="eastAsia"/>
          <w:szCs w:val="28"/>
          <w:lang w:val="en-US" w:eastAsia="zh-CN"/>
        </w:rPr>
        <w:t>4</w:t>
      </w:r>
      <w:r>
        <w:rPr>
          <w:rFonts w:hint="eastAsia"/>
          <w:szCs w:val="28"/>
        </w:rPr>
        <w:t>）设备本体防腐采用高效高分子耐磨型材BLV-007II型防腐，抛光处理（三年内免费维护）。</w:t>
      </w:r>
    </w:p>
    <w:p>
      <w:pPr>
        <w:ind w:firstLine="560" w:firstLineChars="200"/>
        <w:rPr>
          <w:color w:val="FF0000"/>
          <w:szCs w:val="28"/>
        </w:rPr>
      </w:pPr>
      <w:r>
        <w:rPr>
          <w:rFonts w:hint="eastAsia"/>
          <w:szCs w:val="28"/>
        </w:rPr>
        <w:t>（</w:t>
      </w:r>
      <w:r>
        <w:rPr>
          <w:rFonts w:hint="eastAsia"/>
          <w:szCs w:val="28"/>
          <w:lang w:val="en-US" w:eastAsia="zh-CN"/>
        </w:rPr>
        <w:t>5</w:t>
      </w:r>
      <w:r>
        <w:rPr>
          <w:rFonts w:hint="eastAsia"/>
          <w:szCs w:val="28"/>
        </w:rPr>
        <w:t>）空载试验：电动葫芦在横梁上左右运行及上下起升时应运行平稳，旋臂横梁回转时应灵活平稳，并应停止在任何位置上而不导致自行滑移，且外端有一定上挠度。</w:t>
      </w:r>
    </w:p>
    <w:p>
      <w:pPr>
        <w:snapToGrid w:val="0"/>
        <w:ind w:right="210" w:firstLine="560"/>
        <w:rPr>
          <w:szCs w:val="28"/>
        </w:rPr>
      </w:pPr>
      <w:r>
        <w:rPr>
          <w:rFonts w:hint="eastAsia"/>
          <w:szCs w:val="28"/>
        </w:rPr>
        <w:t>为防止操作失灵而发生事故，在本起重机附近必须安装有发 生紧急情况时能切断电源的开关，吊车电缆应采用 JB678-77 规 定的 YZ-500V 中型橡套电缆 （所用</w:t>
      </w:r>
      <w:r>
        <w:rPr>
          <w:rFonts w:hint="eastAsia"/>
          <w:szCs w:val="28"/>
          <w:lang w:eastAsia="zh-CN"/>
        </w:rPr>
        <w:t>电缆为</w:t>
      </w:r>
      <w:r>
        <w:rPr>
          <w:rFonts w:hint="eastAsia"/>
          <w:szCs w:val="28"/>
          <w:lang w:val="en-US" w:eastAsia="zh-CN"/>
        </w:rPr>
        <w:t>4芯*4平方</w:t>
      </w:r>
      <w:r>
        <w:rPr>
          <w:rFonts w:hint="eastAsia"/>
          <w:szCs w:val="28"/>
        </w:rPr>
        <w:t xml:space="preserve">）。 </w:t>
      </w:r>
    </w:p>
    <w:p>
      <w:pPr>
        <w:snapToGrid w:val="0"/>
        <w:ind w:right="210" w:firstLine="198" w:firstLineChars="71"/>
        <w:rPr>
          <w:szCs w:val="28"/>
        </w:rPr>
      </w:pPr>
      <w:r>
        <w:rPr>
          <w:rFonts w:hint="eastAsia"/>
          <w:szCs w:val="28"/>
        </w:rPr>
        <w:t xml:space="preserve">  （</w:t>
      </w:r>
      <w:r>
        <w:rPr>
          <w:rFonts w:hint="eastAsia"/>
          <w:szCs w:val="28"/>
          <w:lang w:val="en-US" w:eastAsia="zh-CN"/>
        </w:rPr>
        <w:t>6</w:t>
      </w:r>
      <w:r>
        <w:rPr>
          <w:rFonts w:hint="eastAsia"/>
          <w:szCs w:val="28"/>
        </w:rPr>
        <w:t>）安装调试完成</w:t>
      </w:r>
      <w:r>
        <w:rPr>
          <w:rFonts w:hint="eastAsia"/>
          <w:szCs w:val="28"/>
          <w:lang w:eastAsia="zh-CN"/>
        </w:rPr>
        <w:t>后</w:t>
      </w:r>
      <w:r>
        <w:rPr>
          <w:rFonts w:hint="eastAsia"/>
          <w:szCs w:val="28"/>
        </w:rPr>
        <w:t>设备</w:t>
      </w:r>
      <w:r>
        <w:rPr>
          <w:rFonts w:hint="eastAsia"/>
          <w:szCs w:val="28"/>
          <w:lang w:eastAsia="zh-CN"/>
        </w:rPr>
        <w:t>质</w:t>
      </w:r>
      <w:r>
        <w:rPr>
          <w:rFonts w:hint="eastAsia"/>
          <w:szCs w:val="28"/>
        </w:rPr>
        <w:t>保</w:t>
      </w:r>
      <w:r>
        <w:rPr>
          <w:rFonts w:hint="eastAsia"/>
          <w:szCs w:val="28"/>
          <w:lang w:eastAsia="zh-CN"/>
        </w:rPr>
        <w:t>期</w:t>
      </w:r>
      <w:r>
        <w:rPr>
          <w:rFonts w:hint="eastAsia"/>
          <w:szCs w:val="28"/>
        </w:rPr>
        <w:t>为</w:t>
      </w:r>
      <w:r>
        <w:rPr>
          <w:rFonts w:hint="eastAsia"/>
          <w:szCs w:val="28"/>
          <w:lang w:val="en-US" w:eastAsia="zh-CN"/>
        </w:rPr>
        <w:t>24个</w:t>
      </w:r>
      <w:r>
        <w:rPr>
          <w:rFonts w:hint="eastAsia"/>
          <w:szCs w:val="28"/>
        </w:rPr>
        <w:t>月</w:t>
      </w:r>
      <w:r>
        <w:rPr>
          <w:rFonts w:hint="eastAsia"/>
          <w:szCs w:val="28"/>
          <w:lang w:eastAsia="zh-CN"/>
        </w:rPr>
        <w:t>（</w:t>
      </w:r>
      <w:r>
        <w:rPr>
          <w:rFonts w:hint="eastAsia"/>
          <w:szCs w:val="28"/>
        </w:rPr>
        <w:t>质保期内免费更换维护）。</w:t>
      </w:r>
    </w:p>
    <w:p>
      <w:pPr>
        <w:snapToGrid w:val="0"/>
        <w:ind w:right="210" w:firstLine="2800" w:firstLineChars="1000"/>
        <w:rPr>
          <w:rFonts w:ascii="黑体" w:hAnsi="黑体" w:eastAsia="黑体" w:cs="黑体"/>
          <w:b/>
          <w:bCs/>
          <w:szCs w:val="28"/>
        </w:rPr>
      </w:pPr>
      <w:r>
        <w:rPr>
          <w:rFonts w:hint="eastAsia" w:ascii="黑体" w:hAnsi="黑体" w:eastAsia="黑体" w:cs="黑体"/>
          <w:szCs w:val="28"/>
        </w:rPr>
        <w:br w:type="page"/>
      </w:r>
      <w:bookmarkStart w:id="239" w:name="_Toc20114"/>
      <w:bookmarkStart w:id="240" w:name="_Toc12910"/>
      <w:bookmarkStart w:id="241" w:name="_Toc29104"/>
      <w:bookmarkStart w:id="242" w:name="_Toc10485"/>
      <w:bookmarkStart w:id="243" w:name="_Toc14007"/>
      <w:bookmarkStart w:id="244" w:name="_Toc17479"/>
      <w:bookmarkStart w:id="245" w:name="_Toc13977"/>
      <w:bookmarkStart w:id="246" w:name="_Toc25573"/>
      <w:bookmarkStart w:id="247" w:name="_Toc2644"/>
      <w:r>
        <w:rPr>
          <w:rFonts w:hint="eastAsia" w:ascii="黑体" w:hAnsi="黑体" w:eastAsia="黑体" w:cs="黑体"/>
          <w:szCs w:val="28"/>
        </w:rPr>
        <w:t>第六章   交货与验收</w:t>
      </w:r>
      <w:bookmarkEnd w:id="239"/>
      <w:bookmarkEnd w:id="240"/>
      <w:bookmarkEnd w:id="241"/>
    </w:p>
    <w:p>
      <w:pPr>
        <w:adjustRightInd w:val="0"/>
        <w:snapToGrid w:val="0"/>
        <w:ind w:firstLine="560"/>
        <w:rPr>
          <w:rFonts w:ascii="黑体" w:hAnsi="黑体" w:eastAsia="黑体" w:cs="黑体"/>
          <w:szCs w:val="22"/>
        </w:rPr>
      </w:pPr>
      <w:bookmarkStart w:id="248" w:name="_Toc10295"/>
      <w:bookmarkStart w:id="249" w:name="_Toc30916"/>
      <w:bookmarkStart w:id="250" w:name="_Toc414"/>
      <w:r>
        <w:rPr>
          <w:rFonts w:hint="eastAsia" w:ascii="黑体" w:hAnsi="黑体" w:eastAsia="黑体" w:cs="黑体"/>
          <w:szCs w:val="22"/>
        </w:rPr>
        <w:t>6.1包装和发运</w:t>
      </w:r>
      <w:bookmarkEnd w:id="248"/>
      <w:bookmarkEnd w:id="249"/>
      <w:bookmarkEnd w:id="250"/>
    </w:p>
    <w:p>
      <w:pPr>
        <w:adjustRightInd w:val="0"/>
        <w:snapToGrid w:val="0"/>
        <w:ind w:firstLine="560"/>
        <w:rPr>
          <w:rFonts w:ascii="宋体" w:hAnsi="宋体" w:cs="宋体"/>
          <w:szCs w:val="28"/>
        </w:rPr>
      </w:pPr>
      <w:r>
        <w:rPr>
          <w:rFonts w:hint="eastAsia" w:ascii="宋体" w:hAnsi="宋体" w:cs="宋体"/>
          <w:szCs w:val="28"/>
        </w:rPr>
        <w:t>6.1.1通用部分</w:t>
      </w:r>
    </w:p>
    <w:p>
      <w:pPr>
        <w:numPr>
          <w:ilvl w:val="0"/>
          <w:numId w:val="5"/>
        </w:numPr>
        <w:adjustRightInd w:val="0"/>
        <w:snapToGrid w:val="0"/>
        <w:ind w:firstLine="560"/>
        <w:rPr>
          <w:rFonts w:ascii="宋体" w:hAnsi="宋体" w:cs="宋体"/>
          <w:szCs w:val="28"/>
        </w:rPr>
      </w:pPr>
      <w:r>
        <w:rPr>
          <w:rFonts w:hint="eastAsia" w:ascii="宋体" w:hAnsi="宋体" w:cs="宋体"/>
          <w:szCs w:val="28"/>
        </w:rPr>
        <w:t>物资在发出之前，应对物资进行清理、清洁。并通知采购人。</w:t>
      </w:r>
    </w:p>
    <w:p>
      <w:pPr>
        <w:numPr>
          <w:ilvl w:val="0"/>
          <w:numId w:val="5"/>
        </w:numPr>
        <w:adjustRightInd w:val="0"/>
        <w:snapToGrid w:val="0"/>
        <w:ind w:firstLine="560"/>
        <w:rPr>
          <w:rFonts w:ascii="宋体" w:hAnsi="宋体" w:cs="宋体"/>
          <w:szCs w:val="28"/>
        </w:rPr>
      </w:pPr>
      <w:r>
        <w:rPr>
          <w:rFonts w:hint="eastAsia" w:ascii="宋体" w:hAnsi="宋体" w:cs="宋体"/>
          <w:szCs w:val="28"/>
        </w:rPr>
        <w:t xml:space="preserve">报价人提供的全部物资均应按标准保护要求进行包装，并装设必要的标识、确保物资安全无损运抵现场，由于保护措施不善所引起的损失均由报价人承担。。 </w:t>
      </w:r>
    </w:p>
    <w:p>
      <w:pPr>
        <w:numPr>
          <w:ilvl w:val="0"/>
          <w:numId w:val="5"/>
        </w:numPr>
        <w:adjustRightInd w:val="0"/>
        <w:snapToGrid w:val="0"/>
        <w:ind w:firstLine="560"/>
        <w:rPr>
          <w:rFonts w:ascii="宋体" w:hAnsi="宋体" w:cs="宋体"/>
          <w:szCs w:val="28"/>
        </w:rPr>
      </w:pPr>
      <w:r>
        <w:rPr>
          <w:rFonts w:hint="eastAsia" w:ascii="宋体" w:hAnsi="宋体" w:cs="宋体"/>
          <w:szCs w:val="28"/>
        </w:rPr>
        <w:t>报价人应提供必要的物资保管方法的说明。</w:t>
      </w:r>
    </w:p>
    <w:p>
      <w:pPr>
        <w:adjustRightInd w:val="0"/>
        <w:snapToGrid w:val="0"/>
        <w:ind w:firstLine="560"/>
        <w:rPr>
          <w:rFonts w:ascii="黑体" w:hAnsi="黑体" w:eastAsia="黑体" w:cs="黑体"/>
          <w:szCs w:val="22"/>
        </w:rPr>
      </w:pPr>
      <w:bookmarkStart w:id="251" w:name="_Toc31871"/>
      <w:bookmarkStart w:id="252" w:name="_Toc22594"/>
      <w:bookmarkStart w:id="253" w:name="_Toc15023"/>
      <w:bookmarkStart w:id="254" w:name="_Toc21888_WPSOffice_Level2"/>
      <w:bookmarkStart w:id="255" w:name="_Toc28162"/>
      <w:r>
        <w:rPr>
          <w:rFonts w:hint="eastAsia" w:ascii="黑体" w:hAnsi="黑体" w:eastAsia="黑体" w:cs="黑体"/>
          <w:szCs w:val="22"/>
        </w:rPr>
        <w:t>6.2交货和验收</w:t>
      </w:r>
      <w:bookmarkEnd w:id="251"/>
      <w:bookmarkEnd w:id="252"/>
      <w:bookmarkEnd w:id="253"/>
    </w:p>
    <w:p>
      <w:pPr>
        <w:tabs>
          <w:tab w:val="left" w:pos="525"/>
          <w:tab w:val="left" w:pos="840"/>
        </w:tabs>
        <w:adjustRightInd w:val="0"/>
        <w:snapToGrid w:val="0"/>
        <w:ind w:firstLine="0" w:firstLineChars="0"/>
        <w:rPr>
          <w:rFonts w:ascii="宋体" w:hAnsi="宋体" w:cs="宋体"/>
          <w:szCs w:val="22"/>
        </w:rPr>
      </w:pPr>
      <w:r>
        <w:rPr>
          <w:rFonts w:hint="eastAsia" w:ascii="宋体" w:hAnsi="宋体" w:cs="宋体"/>
          <w:szCs w:val="22"/>
        </w:rPr>
        <w:t xml:space="preserve">    6.2.1通用部分</w:t>
      </w:r>
    </w:p>
    <w:p>
      <w:pPr>
        <w:numPr>
          <w:ilvl w:val="0"/>
          <w:numId w:val="6"/>
        </w:numPr>
        <w:adjustRightInd w:val="0"/>
        <w:snapToGrid w:val="0"/>
        <w:ind w:firstLine="560"/>
        <w:rPr>
          <w:rFonts w:ascii="宋体" w:hAnsi="宋体" w:cs="宋体"/>
          <w:szCs w:val="22"/>
        </w:rPr>
      </w:pPr>
      <w:r>
        <w:rPr>
          <w:rFonts w:hint="eastAsia" w:ascii="宋体" w:hAnsi="宋体" w:cs="宋体"/>
          <w:szCs w:val="28"/>
        </w:rPr>
        <w:t>报价人提供的物资，必须符合本技术部分的各项技术要求。</w:t>
      </w:r>
      <w:r>
        <w:rPr>
          <w:rFonts w:hint="eastAsia" w:ascii="宋体" w:hAnsi="宋体" w:cs="宋体"/>
          <w:szCs w:val="22"/>
        </w:rPr>
        <w:t>报价人所提供产品名称、型号规格、数量应与订货要求一致，产品型号规格与外包装应一致，装箱单、合格证和/或有关检验数据应齐全正确。外观应清洁无破损，外壳、支架、附件、等应无磕碰、裂纹、破损、油垢、锈蚀等。</w:t>
      </w:r>
    </w:p>
    <w:p>
      <w:pPr>
        <w:numPr>
          <w:ilvl w:val="0"/>
          <w:numId w:val="6"/>
        </w:numPr>
        <w:adjustRightInd w:val="0"/>
        <w:snapToGrid w:val="0"/>
        <w:ind w:firstLine="560"/>
        <w:rPr>
          <w:rFonts w:ascii="宋体" w:hAnsi="宋体" w:cs="宋体"/>
          <w:szCs w:val="28"/>
        </w:rPr>
      </w:pPr>
      <w:r>
        <w:rPr>
          <w:rFonts w:hint="eastAsia" w:ascii="宋体" w:hAnsi="宋体" w:cs="宋体"/>
          <w:szCs w:val="28"/>
        </w:rPr>
        <w:t>物资到达现场，安装调试后采购人组织报价人进行到货验收。验收时若报价人未按时到现场，采购人有权自行验收，验收结果和记录对双方同样有效，并作为采购人向报价人提出索赔的有效证据。</w:t>
      </w:r>
    </w:p>
    <w:p>
      <w:pPr>
        <w:numPr>
          <w:ilvl w:val="0"/>
          <w:numId w:val="6"/>
        </w:numPr>
        <w:adjustRightInd w:val="0"/>
        <w:snapToGrid w:val="0"/>
        <w:ind w:firstLine="560"/>
        <w:rPr>
          <w:rFonts w:ascii="宋体" w:hAnsi="宋体" w:cs="宋体"/>
          <w:szCs w:val="28"/>
        </w:rPr>
      </w:pPr>
      <w:r>
        <w:rPr>
          <w:rFonts w:hint="eastAsia" w:ascii="宋体" w:hAnsi="宋体" w:cs="宋体"/>
          <w:szCs w:val="28"/>
        </w:rPr>
        <w:t>验收按照本技术部分要求、相应标准和规范进行。设备的规格、型号、数量、外观、安全特性和质量等不能满足要求，采购人有权拒绝接收或要求报价人更换，报价人应在采购人提出的合理期限内处理并承担所有费用。</w:t>
      </w:r>
    </w:p>
    <w:p>
      <w:pPr>
        <w:numPr>
          <w:ilvl w:val="0"/>
          <w:numId w:val="6"/>
        </w:numPr>
        <w:adjustRightInd w:val="0"/>
        <w:snapToGrid w:val="0"/>
        <w:ind w:firstLine="560"/>
        <w:rPr>
          <w:rFonts w:ascii="宋体" w:hAnsi="宋体" w:cs="宋体"/>
          <w:szCs w:val="28"/>
        </w:rPr>
      </w:pPr>
      <w:r>
        <w:rPr>
          <w:rFonts w:hint="eastAsia" w:ascii="宋体" w:hAnsi="宋体" w:cs="宋体"/>
          <w:szCs w:val="28"/>
        </w:rPr>
        <w:t>双方代表在验收中不能取得一致意见时，可提请双方认可的国家权威检验部门进行检验，其出具的检验证书是具有法律效力的最终检验结果对双方都有约束力，检验费由责任方负担。</w:t>
      </w:r>
    </w:p>
    <w:bookmarkEnd w:id="254"/>
    <w:bookmarkEnd w:id="255"/>
    <w:p>
      <w:pPr>
        <w:pStyle w:val="3"/>
        <w:adjustRightInd w:val="0"/>
        <w:snapToGrid w:val="0"/>
        <w:spacing w:before="0" w:after="0" w:line="360" w:lineRule="auto"/>
        <w:ind w:firstLine="2249" w:firstLineChars="800"/>
        <w:jc w:val="both"/>
        <w:rPr>
          <w:rFonts w:ascii="黑体" w:hAnsi="黑体" w:eastAsia="黑体" w:cs="黑体"/>
          <w:b w:val="0"/>
          <w:bCs w:val="0"/>
          <w:sz w:val="28"/>
          <w:szCs w:val="28"/>
        </w:rPr>
      </w:pPr>
      <w:r>
        <w:rPr>
          <w:rFonts w:hint="eastAsia" w:ascii="黑体" w:hAnsi="黑体" w:eastAsia="黑体" w:cs="黑体"/>
          <w:sz w:val="28"/>
          <w:szCs w:val="28"/>
        </w:rPr>
        <w:t>第七章  售后与服务</w:t>
      </w:r>
    </w:p>
    <w:p>
      <w:pPr>
        <w:adjustRightInd w:val="0"/>
        <w:snapToGrid w:val="0"/>
        <w:ind w:firstLine="560"/>
        <w:rPr>
          <w:rFonts w:ascii="黑体" w:hAnsi="黑体" w:eastAsia="黑体" w:cs="黑体"/>
          <w:szCs w:val="22"/>
        </w:rPr>
      </w:pPr>
      <w:bookmarkStart w:id="256" w:name="_Toc29433"/>
      <w:bookmarkStart w:id="257" w:name="_Toc26666"/>
      <w:bookmarkStart w:id="258" w:name="_Toc7470"/>
      <w:r>
        <w:rPr>
          <w:rFonts w:hint="eastAsia" w:ascii="黑体" w:hAnsi="黑体" w:eastAsia="黑体" w:cs="黑体"/>
          <w:szCs w:val="22"/>
        </w:rPr>
        <w:t>7.1售后服务和质保</w:t>
      </w:r>
      <w:bookmarkEnd w:id="256"/>
      <w:bookmarkEnd w:id="257"/>
      <w:bookmarkEnd w:id="258"/>
    </w:p>
    <w:p>
      <w:pPr>
        <w:adjustRightInd w:val="0"/>
        <w:snapToGrid w:val="0"/>
        <w:ind w:firstLine="560"/>
        <w:rPr>
          <w:rFonts w:ascii="宋体" w:hAnsi="宋体" w:cs="宋体"/>
          <w:szCs w:val="28"/>
        </w:rPr>
      </w:pPr>
      <w:r>
        <w:rPr>
          <w:rFonts w:hint="eastAsia" w:ascii="宋体" w:hAnsi="宋体" w:cs="宋体"/>
          <w:szCs w:val="28"/>
        </w:rPr>
        <w:t>7.1.1通用部分</w:t>
      </w:r>
    </w:p>
    <w:p>
      <w:pPr>
        <w:numPr>
          <w:ilvl w:val="0"/>
          <w:numId w:val="7"/>
        </w:numPr>
        <w:adjustRightInd w:val="0"/>
        <w:snapToGrid w:val="0"/>
        <w:ind w:firstLine="560"/>
        <w:rPr>
          <w:rFonts w:ascii="宋体" w:hAnsi="宋体" w:cs="宋体"/>
          <w:szCs w:val="28"/>
        </w:rPr>
      </w:pPr>
      <w:r>
        <w:rPr>
          <w:rFonts w:hint="eastAsia" w:ascii="宋体" w:hAnsi="宋体" w:cs="宋体"/>
          <w:szCs w:val="28"/>
        </w:rPr>
        <w:t>采购物资的质保期以专用部分要求为准。如采购物资存在质量问题，质保期从修理或更换并经采购人验收合格之日起重新计算。</w:t>
      </w:r>
    </w:p>
    <w:p>
      <w:pPr>
        <w:numPr>
          <w:ilvl w:val="0"/>
          <w:numId w:val="7"/>
        </w:numPr>
        <w:adjustRightInd w:val="0"/>
        <w:snapToGrid w:val="0"/>
        <w:ind w:firstLine="560"/>
        <w:rPr>
          <w:rFonts w:ascii="宋体" w:hAnsi="宋体" w:cs="宋体"/>
          <w:szCs w:val="28"/>
        </w:rPr>
      </w:pPr>
      <w:r>
        <w:rPr>
          <w:rFonts w:hint="eastAsia" w:ascii="宋体" w:hAnsi="宋体" w:cs="宋体"/>
          <w:szCs w:val="28"/>
        </w:rPr>
        <w:t>质保期内报价人提供的物资有缺陷或质量问题需维修、更换的，报价人应在收到采购人通知后立即进行免费的维修或更换。</w:t>
      </w:r>
    </w:p>
    <w:p>
      <w:pPr>
        <w:adjustRightInd w:val="0"/>
        <w:snapToGrid w:val="0"/>
        <w:ind w:firstLine="560"/>
        <w:rPr>
          <w:rFonts w:ascii="宋体" w:hAnsi="宋体" w:cs="宋体"/>
          <w:szCs w:val="28"/>
        </w:rPr>
      </w:pPr>
      <w:r>
        <w:rPr>
          <w:rFonts w:hint="eastAsia" w:ascii="宋体" w:hAnsi="宋体" w:cs="宋体"/>
          <w:szCs w:val="28"/>
        </w:rPr>
        <w:t>7.1.2专用部分</w:t>
      </w:r>
    </w:p>
    <w:p>
      <w:pPr>
        <w:numPr>
          <w:ilvl w:val="0"/>
          <w:numId w:val="8"/>
        </w:numPr>
        <w:adjustRightInd w:val="0"/>
        <w:snapToGrid w:val="0"/>
        <w:ind w:firstLine="560"/>
        <w:rPr>
          <w:rFonts w:ascii="宋体" w:hAnsi="宋体" w:cs="宋体"/>
          <w:szCs w:val="28"/>
        </w:rPr>
      </w:pPr>
      <w:r>
        <w:rPr>
          <w:rFonts w:hint="eastAsia" w:ascii="宋体" w:hAnsi="宋体" w:cs="宋体"/>
          <w:szCs w:val="28"/>
        </w:rPr>
        <w:t>质保期为自验收合格之日起24个月内。</w:t>
      </w:r>
    </w:p>
    <w:p>
      <w:pPr>
        <w:adjustRightInd w:val="0"/>
        <w:snapToGrid w:val="0"/>
        <w:ind w:firstLine="560"/>
        <w:rPr>
          <w:rFonts w:ascii="黑体" w:hAnsi="黑体" w:eastAsia="黑体" w:cs="黑体"/>
          <w:szCs w:val="22"/>
        </w:rPr>
      </w:pPr>
      <w:bookmarkStart w:id="259" w:name="_Toc25189"/>
      <w:bookmarkStart w:id="260" w:name="_Toc6440"/>
      <w:bookmarkStart w:id="261" w:name="_Toc16492"/>
      <w:bookmarkStart w:id="262" w:name="_Toc1482"/>
      <w:bookmarkStart w:id="263" w:name="_Toc15125"/>
      <w:bookmarkStart w:id="264" w:name="_Toc27988"/>
      <w:bookmarkStart w:id="265" w:name="_Toc17832"/>
      <w:bookmarkStart w:id="266" w:name="_Toc25934"/>
      <w:bookmarkStart w:id="267" w:name="_Toc27850"/>
      <w:bookmarkStart w:id="268" w:name="_Toc32748"/>
      <w:bookmarkStart w:id="269" w:name="_Toc32566_WPSOffice_Level2"/>
      <w:r>
        <w:rPr>
          <w:rFonts w:hint="eastAsia" w:ascii="黑体" w:hAnsi="黑体" w:eastAsia="黑体" w:cs="黑体"/>
          <w:szCs w:val="22"/>
        </w:rPr>
        <w:t>7.2 技术服务</w:t>
      </w:r>
      <w:bookmarkEnd w:id="259"/>
      <w:bookmarkEnd w:id="260"/>
      <w:bookmarkEnd w:id="261"/>
    </w:p>
    <w:p>
      <w:pPr>
        <w:adjustRightInd w:val="0"/>
        <w:snapToGrid w:val="0"/>
        <w:ind w:firstLine="560"/>
        <w:rPr>
          <w:rFonts w:ascii="宋体" w:hAnsi="宋体" w:cs="宋体"/>
          <w:szCs w:val="28"/>
        </w:rPr>
      </w:pPr>
      <w:r>
        <w:rPr>
          <w:rFonts w:hint="eastAsia" w:ascii="宋体" w:hAnsi="宋体" w:cs="宋体"/>
          <w:szCs w:val="28"/>
        </w:rPr>
        <w:t>7.2.1通用部分</w:t>
      </w:r>
    </w:p>
    <w:p>
      <w:pPr>
        <w:numPr>
          <w:ilvl w:val="0"/>
          <w:numId w:val="9"/>
        </w:numPr>
        <w:adjustRightInd w:val="0"/>
        <w:snapToGrid w:val="0"/>
        <w:ind w:firstLine="560"/>
        <w:rPr>
          <w:rFonts w:ascii="宋体" w:hAnsi="宋体" w:cs="宋体"/>
          <w:szCs w:val="28"/>
        </w:rPr>
      </w:pPr>
      <w:r>
        <w:rPr>
          <w:rFonts w:hint="eastAsia" w:ascii="宋体" w:hAnsi="宋体" w:cs="宋体"/>
          <w:szCs w:val="28"/>
        </w:rPr>
        <w:t>如有需要，报价人应按照采购人要求,派遣合格的现场服务人员，对采购人提供技术支持和服务。</w:t>
      </w:r>
    </w:p>
    <w:p>
      <w:pPr>
        <w:adjustRightInd w:val="0"/>
        <w:snapToGrid w:val="0"/>
        <w:ind w:firstLine="560"/>
        <w:rPr>
          <w:rFonts w:ascii="宋体" w:hAnsi="宋体" w:cs="宋体"/>
          <w:szCs w:val="28"/>
        </w:rPr>
      </w:pPr>
      <w:r>
        <w:rPr>
          <w:rFonts w:hint="eastAsia" w:ascii="宋体" w:hAnsi="宋体" w:cs="宋体"/>
          <w:szCs w:val="28"/>
        </w:rPr>
        <w:t>7.2.2专用部分</w:t>
      </w:r>
    </w:p>
    <w:p>
      <w:pPr>
        <w:numPr>
          <w:ilvl w:val="0"/>
          <w:numId w:val="10"/>
        </w:numPr>
        <w:adjustRightInd w:val="0"/>
        <w:snapToGrid w:val="0"/>
        <w:ind w:firstLine="560"/>
        <w:rPr>
          <w:rFonts w:ascii="宋体" w:hAnsi="宋体" w:cs="宋体"/>
          <w:szCs w:val="28"/>
        </w:rPr>
      </w:pPr>
      <w:bookmarkStart w:id="270" w:name="_Toc30940"/>
      <w:r>
        <w:rPr>
          <w:rFonts w:hint="eastAsia" w:ascii="宋体" w:hAnsi="宋体" w:cs="宋体"/>
          <w:szCs w:val="28"/>
        </w:rPr>
        <w:t>本项目需派出现场服务人员，基础服务以及技术售后支持。</w:t>
      </w:r>
      <w:bookmarkEnd w:id="262"/>
      <w:bookmarkEnd w:id="263"/>
      <w:bookmarkEnd w:id="264"/>
      <w:bookmarkEnd w:id="265"/>
      <w:bookmarkEnd w:id="266"/>
      <w:bookmarkEnd w:id="267"/>
      <w:bookmarkEnd w:id="268"/>
      <w:bookmarkEnd w:id="269"/>
      <w:bookmarkEnd w:id="270"/>
    </w:p>
    <w:p>
      <w:pPr>
        <w:pStyle w:val="2"/>
        <w:ind w:firstLine="643"/>
      </w:pPr>
      <w:r>
        <w:rPr>
          <w:rFonts w:hint="eastAsia"/>
        </w:rPr>
        <w:t xml:space="preserve">       第八章  资料与交付文件</w:t>
      </w:r>
    </w:p>
    <w:p>
      <w:pPr>
        <w:adjustRightInd w:val="0"/>
        <w:snapToGrid w:val="0"/>
        <w:ind w:firstLine="560"/>
        <w:rPr>
          <w:rFonts w:ascii="黑体" w:hAnsi="黑体" w:eastAsia="黑体" w:cs="黑体"/>
          <w:szCs w:val="22"/>
        </w:rPr>
      </w:pPr>
      <w:bookmarkStart w:id="271" w:name="_Toc19693"/>
      <w:bookmarkStart w:id="272" w:name="_Toc13871"/>
      <w:bookmarkStart w:id="273" w:name="_Toc19575"/>
      <w:bookmarkStart w:id="274" w:name="_Toc12349"/>
      <w:bookmarkStart w:id="275" w:name="_Toc20794_WPSOffice_Level2"/>
      <w:r>
        <w:rPr>
          <w:rFonts w:hint="eastAsia" w:ascii="黑体" w:hAnsi="黑体" w:eastAsia="黑体" w:cs="黑体"/>
          <w:szCs w:val="22"/>
        </w:rPr>
        <w:t>8.1通用部分</w:t>
      </w:r>
      <w:bookmarkEnd w:id="271"/>
      <w:bookmarkEnd w:id="272"/>
      <w:bookmarkEnd w:id="273"/>
      <w:bookmarkEnd w:id="274"/>
      <w:bookmarkEnd w:id="275"/>
      <w:r>
        <w:rPr>
          <w:rFonts w:hint="eastAsia" w:ascii="黑体" w:hAnsi="黑体" w:eastAsia="黑体" w:cs="黑体"/>
          <w:szCs w:val="22"/>
        </w:rPr>
        <w:t xml:space="preserve"> </w:t>
      </w:r>
    </w:p>
    <w:p>
      <w:pPr>
        <w:adjustRightInd w:val="0"/>
        <w:snapToGrid w:val="0"/>
        <w:ind w:firstLine="560"/>
        <w:rPr>
          <w:rFonts w:ascii="宋体" w:hAnsi="宋体" w:cs="宋体"/>
          <w:szCs w:val="28"/>
        </w:rPr>
      </w:pPr>
      <w:r>
        <w:rPr>
          <w:rFonts w:hint="eastAsia" w:ascii="宋体" w:hAnsi="宋体" w:cs="宋体"/>
          <w:szCs w:val="28"/>
        </w:rPr>
        <w:t>8.1.1 交付的资料是指与采购物资的相关的所有技术文件。</w:t>
      </w:r>
    </w:p>
    <w:p>
      <w:pPr>
        <w:adjustRightInd w:val="0"/>
        <w:snapToGrid w:val="0"/>
        <w:ind w:firstLine="560"/>
        <w:rPr>
          <w:rFonts w:ascii="宋体" w:hAnsi="宋体" w:cs="宋体"/>
          <w:szCs w:val="28"/>
        </w:rPr>
      </w:pPr>
      <w:r>
        <w:rPr>
          <w:rFonts w:hint="eastAsia" w:ascii="宋体" w:hAnsi="宋体" w:cs="宋体"/>
          <w:szCs w:val="28"/>
        </w:rPr>
        <w:t>8.1.2 资料的组织结构清晰、逻辑性强。资料内容要正确、准确、一致、清晰、完整，满足项目要求。</w:t>
      </w:r>
    </w:p>
    <w:p>
      <w:pPr>
        <w:adjustRightInd w:val="0"/>
        <w:snapToGrid w:val="0"/>
        <w:ind w:firstLine="560"/>
        <w:rPr>
          <w:rFonts w:ascii="宋体" w:hAnsi="宋体" w:cs="宋体"/>
          <w:szCs w:val="28"/>
        </w:rPr>
      </w:pPr>
      <w:r>
        <w:rPr>
          <w:rFonts w:hint="eastAsia" w:ascii="宋体" w:hAnsi="宋体" w:cs="宋体"/>
          <w:szCs w:val="28"/>
        </w:rPr>
        <w:t>8.1.3 资料的提交应及时、充分，满足进度要求。</w:t>
      </w:r>
    </w:p>
    <w:p>
      <w:pPr>
        <w:adjustRightInd w:val="0"/>
        <w:snapToGrid w:val="0"/>
        <w:ind w:firstLine="560"/>
      </w:pPr>
      <w:r>
        <w:rPr>
          <w:rFonts w:hint="eastAsia" w:ascii="宋体" w:hAnsi="宋体" w:cs="宋体"/>
          <w:szCs w:val="28"/>
        </w:rPr>
        <w:t>8.1.4 对于其它没有列入合同技术资料清单，却是项目所必需文件和资料，一经发现及时免费提供。</w:t>
      </w:r>
    </w:p>
    <w:p>
      <w:pPr>
        <w:adjustRightInd w:val="0"/>
        <w:snapToGrid w:val="0"/>
        <w:ind w:firstLine="560"/>
        <w:rPr>
          <w:rFonts w:ascii="黑体" w:hAnsi="黑体" w:eastAsia="黑体" w:cs="黑体"/>
          <w:szCs w:val="22"/>
        </w:rPr>
      </w:pPr>
      <w:bookmarkStart w:id="276" w:name="_Toc18442"/>
      <w:bookmarkStart w:id="277" w:name="_Toc9277"/>
      <w:bookmarkStart w:id="278" w:name="_Toc5300"/>
      <w:bookmarkStart w:id="279" w:name="_Toc30091_WPSOffice_Level2"/>
      <w:bookmarkStart w:id="280" w:name="_Toc27722"/>
      <w:r>
        <w:rPr>
          <w:rFonts w:hint="eastAsia" w:ascii="黑体" w:hAnsi="黑体" w:eastAsia="黑体" w:cs="黑体"/>
          <w:szCs w:val="22"/>
        </w:rPr>
        <w:t>8.2专用部分</w:t>
      </w:r>
      <w:bookmarkEnd w:id="276"/>
      <w:bookmarkEnd w:id="277"/>
      <w:bookmarkEnd w:id="278"/>
      <w:bookmarkEnd w:id="279"/>
      <w:bookmarkEnd w:id="280"/>
    </w:p>
    <w:p>
      <w:pPr>
        <w:adjustRightInd w:val="0"/>
        <w:snapToGrid w:val="0"/>
        <w:ind w:firstLine="560"/>
        <w:rPr>
          <w:rFonts w:ascii="宋体" w:hAnsi="宋体" w:cs="宋体"/>
          <w:szCs w:val="28"/>
        </w:rPr>
      </w:pPr>
      <w:r>
        <w:rPr>
          <w:rFonts w:hint="eastAsia" w:ascii="宋体" w:hAnsi="宋体" w:cs="宋体"/>
          <w:szCs w:val="28"/>
        </w:rPr>
        <w:t>8.2.1提供的资料应包括，并随交货时提供：</w:t>
      </w:r>
    </w:p>
    <w:p>
      <w:pPr>
        <w:numPr>
          <w:ilvl w:val="0"/>
          <w:numId w:val="11"/>
        </w:numPr>
        <w:adjustRightInd w:val="0"/>
        <w:snapToGrid w:val="0"/>
        <w:ind w:firstLine="560"/>
        <w:rPr>
          <w:rFonts w:ascii="宋体" w:hAnsi="宋体" w:cs="宋体"/>
          <w:szCs w:val="28"/>
        </w:rPr>
      </w:pPr>
      <w:r>
        <w:rPr>
          <w:rFonts w:hint="eastAsia" w:ascii="宋体" w:hAnsi="宋体" w:cs="宋体"/>
          <w:szCs w:val="28"/>
        </w:rPr>
        <w:t>具有国家认可授权检测机构检验的有效检验报告。</w:t>
      </w:r>
    </w:p>
    <w:p>
      <w:pPr>
        <w:numPr>
          <w:ilvl w:val="0"/>
          <w:numId w:val="11"/>
        </w:numPr>
        <w:adjustRightInd w:val="0"/>
        <w:snapToGrid w:val="0"/>
        <w:ind w:firstLine="560"/>
        <w:rPr>
          <w:rFonts w:ascii="宋体" w:hAnsi="宋体" w:cs="宋体"/>
          <w:szCs w:val="28"/>
        </w:rPr>
      </w:pPr>
      <w:r>
        <w:rPr>
          <w:rFonts w:hint="eastAsia" w:ascii="宋体" w:hAnsi="宋体" w:cs="宋体"/>
          <w:szCs w:val="28"/>
        </w:rPr>
        <w:t>生产方出具国家质量检验部门的产品合格证明书，应注有产品规格型号、安装图纸、产品等级、使用性能技术要求等。</w:t>
      </w:r>
    </w:p>
    <w:bookmarkEnd w:id="237"/>
    <w:bookmarkEnd w:id="238"/>
    <w:bookmarkEnd w:id="242"/>
    <w:bookmarkEnd w:id="243"/>
    <w:bookmarkEnd w:id="244"/>
    <w:bookmarkEnd w:id="245"/>
    <w:bookmarkEnd w:id="246"/>
    <w:bookmarkEnd w:id="247"/>
    <w:p>
      <w:pPr>
        <w:adjustRightInd w:val="0"/>
        <w:snapToGrid w:val="0"/>
        <w:ind w:firstLine="0" w:firstLineChars="0"/>
      </w:pPr>
    </w:p>
    <w:sectPr>
      <w:footerReference r:id="rId11"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firstLine="36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5"/>
                      <w:ind w:firstLine="360"/>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247FE"/>
    <w:multiLevelType w:val="singleLevel"/>
    <w:tmpl w:val="AC3247FE"/>
    <w:lvl w:ilvl="0" w:tentative="0">
      <w:start w:val="1"/>
      <w:numFmt w:val="decimal"/>
      <w:suff w:val="nothing"/>
      <w:lvlText w:val="（%1）"/>
      <w:lvlJc w:val="left"/>
    </w:lvl>
  </w:abstractNum>
  <w:abstractNum w:abstractNumId="1">
    <w:nsid w:val="B15BF0EF"/>
    <w:multiLevelType w:val="singleLevel"/>
    <w:tmpl w:val="B15BF0EF"/>
    <w:lvl w:ilvl="0" w:tentative="0">
      <w:start w:val="1"/>
      <w:numFmt w:val="decimal"/>
      <w:suff w:val="nothing"/>
      <w:lvlText w:val="（%1）"/>
      <w:lvlJc w:val="left"/>
    </w:lvl>
  </w:abstractNum>
  <w:abstractNum w:abstractNumId="2">
    <w:nsid w:val="C0FC6C18"/>
    <w:multiLevelType w:val="singleLevel"/>
    <w:tmpl w:val="C0FC6C18"/>
    <w:lvl w:ilvl="0" w:tentative="0">
      <w:start w:val="1"/>
      <w:numFmt w:val="decimal"/>
      <w:suff w:val="nothing"/>
      <w:lvlText w:val="（%1）"/>
      <w:lvlJc w:val="left"/>
      <w:pPr>
        <w:ind w:left="280"/>
      </w:pPr>
    </w:lvl>
  </w:abstractNum>
  <w:abstractNum w:abstractNumId="3">
    <w:nsid w:val="D3FDEBB3"/>
    <w:multiLevelType w:val="singleLevel"/>
    <w:tmpl w:val="D3FDEBB3"/>
    <w:lvl w:ilvl="0" w:tentative="0">
      <w:start w:val="1"/>
      <w:numFmt w:val="decimal"/>
      <w:suff w:val="nothing"/>
      <w:lvlText w:val="（%1）"/>
      <w:lvlJc w:val="left"/>
    </w:lvl>
  </w:abstractNum>
  <w:abstractNum w:abstractNumId="4">
    <w:nsid w:val="F0574E87"/>
    <w:multiLevelType w:val="singleLevel"/>
    <w:tmpl w:val="F0574E87"/>
    <w:lvl w:ilvl="0" w:tentative="0">
      <w:start w:val="1"/>
      <w:numFmt w:val="decimal"/>
      <w:suff w:val="nothing"/>
      <w:lvlText w:val="（%1）"/>
      <w:lvlJc w:val="left"/>
    </w:lvl>
  </w:abstractNum>
  <w:abstractNum w:abstractNumId="5">
    <w:nsid w:val="2990F5D2"/>
    <w:multiLevelType w:val="singleLevel"/>
    <w:tmpl w:val="2990F5D2"/>
    <w:lvl w:ilvl="0" w:tentative="0">
      <w:start w:val="1"/>
      <w:numFmt w:val="decimal"/>
      <w:suff w:val="nothing"/>
      <w:lvlText w:val="（%1）"/>
      <w:lvlJc w:val="left"/>
    </w:lvl>
  </w:abstractNum>
  <w:abstractNum w:abstractNumId="6">
    <w:nsid w:val="476D7576"/>
    <w:multiLevelType w:val="multilevel"/>
    <w:tmpl w:val="476D7576"/>
    <w:lvl w:ilvl="0" w:tentative="0">
      <w:start w:val="1"/>
      <w:numFmt w:val="japaneseCounting"/>
      <w:lvlText w:val="第%1章"/>
      <w:lvlJc w:val="left"/>
      <w:pPr>
        <w:ind w:left="5268" w:hanging="1440"/>
      </w:pPr>
      <w:rPr>
        <w:rFonts w:hint="default"/>
      </w:rPr>
    </w:lvl>
    <w:lvl w:ilvl="1" w:tentative="0">
      <w:start w:val="1"/>
      <w:numFmt w:val="lowerLetter"/>
      <w:lvlText w:val="%2)"/>
      <w:lvlJc w:val="left"/>
      <w:pPr>
        <w:ind w:left="1723" w:hanging="420"/>
      </w:pPr>
    </w:lvl>
    <w:lvl w:ilvl="2" w:tentative="0">
      <w:start w:val="1"/>
      <w:numFmt w:val="lowerRoman"/>
      <w:lvlText w:val="%3."/>
      <w:lvlJc w:val="right"/>
      <w:pPr>
        <w:ind w:left="2143" w:hanging="420"/>
      </w:pPr>
    </w:lvl>
    <w:lvl w:ilvl="3" w:tentative="0">
      <w:start w:val="1"/>
      <w:numFmt w:val="decimal"/>
      <w:lvlText w:val="%4."/>
      <w:lvlJc w:val="left"/>
      <w:pPr>
        <w:ind w:left="2563" w:hanging="420"/>
      </w:pPr>
    </w:lvl>
    <w:lvl w:ilvl="4" w:tentative="0">
      <w:start w:val="1"/>
      <w:numFmt w:val="lowerLetter"/>
      <w:lvlText w:val="%5)"/>
      <w:lvlJc w:val="left"/>
      <w:pPr>
        <w:ind w:left="2983" w:hanging="420"/>
      </w:pPr>
    </w:lvl>
    <w:lvl w:ilvl="5" w:tentative="0">
      <w:start w:val="1"/>
      <w:numFmt w:val="lowerRoman"/>
      <w:lvlText w:val="%6."/>
      <w:lvlJc w:val="right"/>
      <w:pPr>
        <w:ind w:left="3403" w:hanging="420"/>
      </w:pPr>
    </w:lvl>
    <w:lvl w:ilvl="6" w:tentative="0">
      <w:start w:val="1"/>
      <w:numFmt w:val="decimal"/>
      <w:lvlText w:val="%7."/>
      <w:lvlJc w:val="left"/>
      <w:pPr>
        <w:ind w:left="3823" w:hanging="420"/>
      </w:pPr>
    </w:lvl>
    <w:lvl w:ilvl="7" w:tentative="0">
      <w:start w:val="1"/>
      <w:numFmt w:val="lowerLetter"/>
      <w:lvlText w:val="%8)"/>
      <w:lvlJc w:val="left"/>
      <w:pPr>
        <w:ind w:left="4243" w:hanging="420"/>
      </w:pPr>
    </w:lvl>
    <w:lvl w:ilvl="8" w:tentative="0">
      <w:start w:val="1"/>
      <w:numFmt w:val="lowerRoman"/>
      <w:lvlText w:val="%9."/>
      <w:lvlJc w:val="right"/>
      <w:pPr>
        <w:ind w:left="4663" w:hanging="420"/>
      </w:pPr>
    </w:lvl>
  </w:abstractNum>
  <w:abstractNum w:abstractNumId="7">
    <w:nsid w:val="4E8924ED"/>
    <w:multiLevelType w:val="singleLevel"/>
    <w:tmpl w:val="4E8924ED"/>
    <w:lvl w:ilvl="0" w:tentative="0">
      <w:start w:val="1"/>
      <w:numFmt w:val="decimal"/>
      <w:suff w:val="nothing"/>
      <w:lvlText w:val="（%1）"/>
      <w:lvlJc w:val="left"/>
    </w:lvl>
  </w:abstractNum>
  <w:abstractNum w:abstractNumId="8">
    <w:nsid w:val="507308C1"/>
    <w:multiLevelType w:val="singleLevel"/>
    <w:tmpl w:val="507308C1"/>
    <w:lvl w:ilvl="0" w:tentative="0">
      <w:start w:val="1"/>
      <w:numFmt w:val="decimal"/>
      <w:suff w:val="nothing"/>
      <w:lvlText w:val="（%1）"/>
      <w:lvlJc w:val="left"/>
    </w:lvl>
  </w:abstractNum>
  <w:abstractNum w:abstractNumId="9">
    <w:nsid w:val="5D261F1A"/>
    <w:multiLevelType w:val="singleLevel"/>
    <w:tmpl w:val="5D261F1A"/>
    <w:lvl w:ilvl="0" w:tentative="0">
      <w:start w:val="1"/>
      <w:numFmt w:val="decimal"/>
      <w:suff w:val="nothing"/>
      <w:lvlText w:val="（%1）"/>
      <w:lvlJc w:val="left"/>
    </w:lvl>
  </w:abstractNum>
  <w:abstractNum w:abstractNumId="10">
    <w:nsid w:val="79E1359C"/>
    <w:multiLevelType w:val="singleLevel"/>
    <w:tmpl w:val="79E1359C"/>
    <w:lvl w:ilvl="0" w:tentative="0">
      <w:start w:val="1"/>
      <w:numFmt w:val="decimal"/>
      <w:suff w:val="nothing"/>
      <w:lvlText w:val="（%1）"/>
      <w:lvlJc w:val="left"/>
    </w:lvl>
  </w:abstractNum>
  <w:num w:numId="1">
    <w:abstractNumId w:val="6"/>
  </w:num>
  <w:num w:numId="2">
    <w:abstractNumId w:val="0"/>
  </w:num>
  <w:num w:numId="3">
    <w:abstractNumId w:val="2"/>
  </w:num>
  <w:num w:numId="4">
    <w:abstractNumId w:val="10"/>
  </w:num>
  <w:num w:numId="5">
    <w:abstractNumId w:val="4"/>
  </w:num>
  <w:num w:numId="6">
    <w:abstractNumId w:val="7"/>
  </w:num>
  <w:num w:numId="7">
    <w:abstractNumId w:val="5"/>
  </w:num>
  <w:num w:numId="8">
    <w:abstractNumId w:val="1"/>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A5A"/>
    <w:rsid w:val="001743BC"/>
    <w:rsid w:val="001E30E2"/>
    <w:rsid w:val="0027627C"/>
    <w:rsid w:val="002C6A5A"/>
    <w:rsid w:val="004135CB"/>
    <w:rsid w:val="004135FD"/>
    <w:rsid w:val="004C40DB"/>
    <w:rsid w:val="00586B46"/>
    <w:rsid w:val="005E05D1"/>
    <w:rsid w:val="006E53E7"/>
    <w:rsid w:val="00816E41"/>
    <w:rsid w:val="00877EAB"/>
    <w:rsid w:val="008B367D"/>
    <w:rsid w:val="008D2C22"/>
    <w:rsid w:val="00917374"/>
    <w:rsid w:val="00993E01"/>
    <w:rsid w:val="00AE4771"/>
    <w:rsid w:val="00BD5520"/>
    <w:rsid w:val="00F1061D"/>
    <w:rsid w:val="00F93EB2"/>
    <w:rsid w:val="02EF0E72"/>
    <w:rsid w:val="09162409"/>
    <w:rsid w:val="0F007063"/>
    <w:rsid w:val="10F85EBF"/>
    <w:rsid w:val="11925C66"/>
    <w:rsid w:val="13A04AB2"/>
    <w:rsid w:val="25D4241E"/>
    <w:rsid w:val="2B7945A3"/>
    <w:rsid w:val="387C523E"/>
    <w:rsid w:val="39C7276D"/>
    <w:rsid w:val="435E7232"/>
    <w:rsid w:val="4AB42D9F"/>
    <w:rsid w:val="55827B01"/>
    <w:rsid w:val="5A261A52"/>
    <w:rsid w:val="5AD86659"/>
    <w:rsid w:val="5DA03C8F"/>
    <w:rsid w:val="631F1FA0"/>
    <w:rsid w:val="6BBB70F1"/>
    <w:rsid w:val="70910639"/>
    <w:rsid w:val="709A2804"/>
    <w:rsid w:val="740B4519"/>
    <w:rsid w:val="7D635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b/>
      <w:bCs/>
      <w:kern w:val="44"/>
      <w:sz w:val="44"/>
      <w:szCs w:val="44"/>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pPr>
      <w:spacing w:line="240" w:lineRule="auto"/>
    </w:pPr>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 w:type="paragraph" w:customStyle="1" w:styleId="10">
    <w:name w:val="WPSOffice手动目录 1"/>
    <w:qFormat/>
    <w:uiPriority w:val="0"/>
    <w:rPr>
      <w:rFonts w:ascii="Calibri" w:hAnsi="Calibri" w:eastAsia="宋体" w:cs="Times New Roman"/>
      <w:lang w:val="en-US" w:eastAsia="zh-CN" w:bidi="ar-SA"/>
    </w:rPr>
  </w:style>
  <w:style w:type="paragraph" w:customStyle="1" w:styleId="11">
    <w:name w:val="WPSOffice手动目录 2"/>
    <w:qFormat/>
    <w:uiPriority w:val="0"/>
    <w:pPr>
      <w:ind w:left="200" w:leftChars="200"/>
    </w:pPr>
    <w:rPr>
      <w:rFonts w:ascii="Calibri" w:hAnsi="Calibri" w:eastAsia="宋体" w:cs="Times New Roman"/>
      <w:lang w:val="en-US" w:eastAsia="zh-CN" w:bidi="ar-SA"/>
    </w:rPr>
  </w:style>
  <w:style w:type="character" w:customStyle="1" w:styleId="12">
    <w:name w:val="批注框文本 Char"/>
    <w:basedOn w:val="8"/>
    <w:link w:val="4"/>
    <w:qFormat/>
    <w:uiPriority w:val="0"/>
    <w:rPr>
      <w:kern w:val="2"/>
      <w:sz w:val="18"/>
      <w:szCs w:val="18"/>
    </w:rPr>
  </w:style>
  <w:style w:type="paragraph" w:styleId="13">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715</Words>
  <Characters>4079</Characters>
  <Lines>33</Lines>
  <Paragraphs>9</Paragraphs>
  <TotalTime>126</TotalTime>
  <ScaleCrop>false</ScaleCrop>
  <LinksUpToDate>false</LinksUpToDate>
  <CharactersWithSpaces>4785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2020-04-08T08:57:00Z</dcterms:created>
  <dc:creator>40913</dc:creator>
  <cp:lastModifiedBy>1</cp:lastModifiedBy>
  <cp:lastPrinted>2020-04-08T10:24:00Z</cp:lastPrinted>
  <dcterms:modified xsi:type="dcterms:W3CDTF">2020-07-16T08:54:23Z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