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  <w:bdr w:val="none" w:color="auto" w:sz="0" w:space="0"/>
        </w:rPr>
        <w:t>Auxiliary Relay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  <w:bdr w:val="none" w:color="auto" w:sz="0" w:space="0"/>
        </w:rPr>
        <w:t> DZS-12B TH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  <w:bdr w:val="none" w:color="auto" w:sz="0" w:space="0"/>
        </w:rPr>
        <w:t> Rated Voltage = 220V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  <w:bdr w:val="none" w:color="auto" w:sz="0" w:space="0"/>
        </w:rPr>
        <w:t> Manufacturer : SHANGHAI RELAY CO, LTD. CHINA or equivalent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440" w:firstLineChars="20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Quantity: 03 Nos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leftChars="0" w:firstLine="0" w:firstLineChars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Trip Circuit Supervision Relay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 BTJ-1B Trip Circuit Supervision Relay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 Measuring Current = DC 1 mA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 Auxiliary Voltage = DC 220V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 Time Delay = 1~7 sec.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 Manufacturer : SHANGHAI ILLINO RELAY CO, LTD. CHINA or equivalent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firstLine="440" w:firstLineChars="20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Quantity: 06 Nos 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leftChars="0" w:firstLine="0" w:firstLineChars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Setting Card for KCVA-21 series Thyristor Rectifier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 Manufacturer : XJ POWER CO, LTD, CHINA or equivalent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440" w:firstLineChars="20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Quantity: 02 Nos 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leftChars="0" w:firstLine="0" w:firstLineChars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Voltage Transformer (VT)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 VT Type: JDZX11-12B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 Ratio/Output/Class: 11000/√3 0.11/√3/200VA/3P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 0.1/√3/45VA/0.2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 Manufacturer : SHANGHAI INSTRUMENT TRANSFORMER WORKS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440" w:firstLineChars="20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Quantity: 02 Nos 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leftChars="0" w:firstLine="0" w:firstLineChars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VT Fuse RN2-10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 Make : CHINA or equivalent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90" w:lineRule="atLeast"/>
        <w:ind w:left="0" w:firstLine="440" w:firstLineChars="20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2"/>
          <w:szCs w:val="22"/>
          <w:u w:val="none"/>
          <w:bdr w:val="none" w:color="auto" w:sz="0" w:space="0"/>
        </w:rPr>
        <w:t>Quantity: 02 Nos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CEBABD"/>
    <w:multiLevelType w:val="singleLevel"/>
    <w:tmpl w:val="E7CEBAB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96030</dc:creator>
  <cp:lastModifiedBy>中标网官方微信</cp:lastModifiedBy>
  <dcterms:modified xsi:type="dcterms:W3CDTF">2020-11-12T03:25:48Z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