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ED4F2F"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  <w:b/>
          <w:bCs/>
          <w:sz w:val="36"/>
          <w:szCs w:val="44"/>
        </w:rPr>
        <w:t>技术协议</w:t>
      </w:r>
      <w:r>
        <w:rPr>
          <w:rFonts w:hint="eastAsia"/>
        </w:rPr>
        <w:t xml:space="preserve">                                                     </w:t>
      </w:r>
    </w:p>
    <w:p w14:paraId="166FA591">
      <w:pPr>
        <w:ind w:firstLine="420" w:firstLineChars="200"/>
        <w:rPr>
          <w:rFonts w:hint="eastAsia"/>
        </w:rPr>
      </w:pPr>
    </w:p>
    <w:p w14:paraId="62EBEDFC">
      <w:pPr>
        <w:rPr>
          <w:rFonts w:hint="default" w:eastAsia="宋体"/>
          <w:lang w:val="en-US" w:eastAsia="zh-CN"/>
        </w:rPr>
      </w:pPr>
      <w:r>
        <w:rPr>
          <w:rFonts w:hint="eastAsia"/>
        </w:rPr>
        <w:t>1、</w:t>
      </w:r>
      <w:r>
        <w:rPr>
          <w:rFonts w:hint="eastAsia"/>
          <w:lang w:val="en-US" w:eastAsia="zh-CN"/>
        </w:rPr>
        <w:t>钢级（</w:t>
      </w:r>
      <w:r>
        <w:rPr>
          <w:rFonts w:hint="eastAsia"/>
        </w:rPr>
        <w:t>牌号</w:t>
      </w:r>
      <w:r>
        <w:rPr>
          <w:rFonts w:hint="eastAsia"/>
          <w:lang w:val="en-US" w:eastAsia="zh-CN"/>
        </w:rPr>
        <w:t>）及化学成分</w:t>
      </w:r>
    </w:p>
    <w:p w14:paraId="1E521B06">
      <w:pPr>
        <w:ind w:firstLine="420" w:firstLineChars="200"/>
        <w:rPr>
          <w:rFonts w:hint="eastAsia"/>
        </w:rPr>
      </w:pPr>
      <w:r>
        <w:rPr>
          <w:rFonts w:hint="eastAsia"/>
        </w:rPr>
        <w:t>钢的牌号为</w:t>
      </w:r>
      <w:r>
        <w:rPr>
          <w:rFonts w:hint="eastAsia"/>
          <w:lang w:val="en-US" w:eastAsia="zh-CN"/>
        </w:rPr>
        <w:t>R780-38Mn2V</w:t>
      </w:r>
      <w:r>
        <w:rPr>
          <w:rFonts w:hint="eastAsia"/>
        </w:rPr>
        <w:t>，成品钢管的成分及性能应满足</w:t>
      </w:r>
      <w:r>
        <w:rPr>
          <w:rFonts w:hint="eastAsia"/>
          <w:lang w:val="en-US" w:eastAsia="zh-CN"/>
        </w:rPr>
        <w:t>表1</w:t>
      </w:r>
      <w:r>
        <w:rPr>
          <w:rFonts w:hint="eastAsia"/>
        </w:rPr>
        <w:t>的规定。</w:t>
      </w:r>
    </w:p>
    <w:p w14:paraId="7046E993">
      <w:pPr>
        <w:ind w:firstLine="360" w:firstLineChars="200"/>
        <w:jc w:val="center"/>
        <w:rPr>
          <w:rFonts w:hint="eastAsia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表1 钢管的钢级（牌号）及化学成分</w:t>
      </w:r>
    </w:p>
    <w:tbl>
      <w:tblPr>
        <w:tblStyle w:val="7"/>
        <w:tblW w:w="9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766"/>
        <w:gridCol w:w="864"/>
        <w:gridCol w:w="826"/>
        <w:gridCol w:w="816"/>
        <w:gridCol w:w="826"/>
        <w:gridCol w:w="870"/>
        <w:gridCol w:w="647"/>
        <w:gridCol w:w="621"/>
        <w:gridCol w:w="674"/>
        <w:gridCol w:w="768"/>
        <w:gridCol w:w="520"/>
      </w:tblGrid>
      <w:tr w14:paraId="2AD5A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01" w:type="dxa"/>
            <w:noWrap w:val="0"/>
            <w:vAlign w:val="center"/>
          </w:tcPr>
          <w:p w14:paraId="1DC97231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牌号</w:t>
            </w:r>
          </w:p>
        </w:tc>
        <w:tc>
          <w:tcPr>
            <w:tcW w:w="8198" w:type="dxa"/>
            <w:gridSpan w:val="11"/>
            <w:noWrap w:val="0"/>
            <w:vAlign w:val="center"/>
          </w:tcPr>
          <w:p w14:paraId="797BBD5B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化学成分，wt％</w:t>
            </w:r>
          </w:p>
        </w:tc>
      </w:tr>
      <w:tr w14:paraId="52A9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01" w:type="dxa"/>
            <w:vMerge w:val="restart"/>
            <w:noWrap w:val="0"/>
            <w:vAlign w:val="center"/>
          </w:tcPr>
          <w:p w14:paraId="63988D84">
            <w:pPr>
              <w:jc w:val="center"/>
              <w:rPr>
                <w:rFonts w:hint="eastAsia"/>
                <w:sz w:val="13"/>
                <w:szCs w:val="16"/>
                <w:lang w:val="en-US" w:eastAsia="zh-CN"/>
              </w:rPr>
            </w:pPr>
            <w:r>
              <w:rPr>
                <w:rFonts w:hint="eastAsia"/>
                <w:sz w:val="13"/>
                <w:szCs w:val="16"/>
                <w:lang w:val="en-US" w:eastAsia="zh-CN"/>
              </w:rPr>
              <w:t>R780</w:t>
            </w:r>
          </w:p>
          <w:p w14:paraId="7E80B84B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/>
                <w:sz w:val="13"/>
                <w:szCs w:val="16"/>
                <w:lang w:val="en-US" w:eastAsia="zh-CN"/>
              </w:rPr>
              <w:t>(38Mn2V)</w:t>
            </w:r>
          </w:p>
        </w:tc>
        <w:tc>
          <w:tcPr>
            <w:tcW w:w="766" w:type="dxa"/>
            <w:noWrap w:val="0"/>
            <w:vAlign w:val="top"/>
          </w:tcPr>
          <w:p w14:paraId="0B136D54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C</w:t>
            </w:r>
          </w:p>
        </w:tc>
        <w:tc>
          <w:tcPr>
            <w:tcW w:w="864" w:type="dxa"/>
            <w:noWrap w:val="0"/>
            <w:vAlign w:val="top"/>
          </w:tcPr>
          <w:p w14:paraId="6EEA2861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Si</w:t>
            </w:r>
          </w:p>
        </w:tc>
        <w:tc>
          <w:tcPr>
            <w:tcW w:w="826" w:type="dxa"/>
            <w:noWrap w:val="0"/>
            <w:vAlign w:val="top"/>
          </w:tcPr>
          <w:p w14:paraId="1B40318F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Mn</w:t>
            </w:r>
          </w:p>
        </w:tc>
        <w:tc>
          <w:tcPr>
            <w:tcW w:w="816" w:type="dxa"/>
            <w:noWrap w:val="0"/>
            <w:vAlign w:val="top"/>
          </w:tcPr>
          <w:p w14:paraId="650EE5CA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P</w:t>
            </w:r>
          </w:p>
        </w:tc>
        <w:tc>
          <w:tcPr>
            <w:tcW w:w="826" w:type="dxa"/>
            <w:noWrap w:val="0"/>
            <w:vAlign w:val="top"/>
          </w:tcPr>
          <w:p w14:paraId="72B0246E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S</w:t>
            </w:r>
          </w:p>
        </w:tc>
        <w:tc>
          <w:tcPr>
            <w:tcW w:w="870" w:type="dxa"/>
            <w:noWrap w:val="0"/>
            <w:vAlign w:val="top"/>
          </w:tcPr>
          <w:p w14:paraId="154CEFC2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Cu</w:t>
            </w:r>
          </w:p>
        </w:tc>
        <w:tc>
          <w:tcPr>
            <w:tcW w:w="647" w:type="dxa"/>
            <w:noWrap w:val="0"/>
            <w:vAlign w:val="top"/>
          </w:tcPr>
          <w:p w14:paraId="6DAB5A0E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Ni</w:t>
            </w:r>
          </w:p>
        </w:tc>
        <w:tc>
          <w:tcPr>
            <w:tcW w:w="621" w:type="dxa"/>
            <w:noWrap w:val="0"/>
            <w:vAlign w:val="top"/>
          </w:tcPr>
          <w:p w14:paraId="17D6F1CB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Cr</w:t>
            </w:r>
          </w:p>
        </w:tc>
        <w:tc>
          <w:tcPr>
            <w:tcW w:w="674" w:type="dxa"/>
            <w:noWrap w:val="0"/>
            <w:vAlign w:val="top"/>
          </w:tcPr>
          <w:p w14:paraId="7FDD98C2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Mo</w:t>
            </w:r>
          </w:p>
        </w:tc>
        <w:tc>
          <w:tcPr>
            <w:tcW w:w="768" w:type="dxa"/>
            <w:noWrap w:val="0"/>
            <w:vAlign w:val="top"/>
          </w:tcPr>
          <w:p w14:paraId="4F9A2359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V</w:t>
            </w:r>
          </w:p>
        </w:tc>
        <w:tc>
          <w:tcPr>
            <w:tcW w:w="520" w:type="dxa"/>
            <w:noWrap w:val="0"/>
            <w:vAlign w:val="top"/>
          </w:tcPr>
          <w:p w14:paraId="5BEC0149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B</w:t>
            </w:r>
          </w:p>
        </w:tc>
      </w:tr>
      <w:tr w14:paraId="6698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01" w:type="dxa"/>
            <w:vMerge w:val="continue"/>
            <w:noWrap w:val="0"/>
            <w:vAlign w:val="top"/>
          </w:tcPr>
          <w:p w14:paraId="12B67ED7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766" w:type="dxa"/>
            <w:noWrap w:val="0"/>
            <w:vAlign w:val="center"/>
          </w:tcPr>
          <w:p w14:paraId="7E1DAD2E">
            <w:pPr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0.35-0.4</w:t>
            </w:r>
            <w:r>
              <w:rPr>
                <w:rFonts w:hint="eastAsia" w:ascii="宋体" w:hAnsi="宋体" w:cs="宋体"/>
                <w:color w:val="auto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864" w:type="dxa"/>
            <w:noWrap w:val="0"/>
            <w:vAlign w:val="center"/>
          </w:tcPr>
          <w:p w14:paraId="06355109">
            <w:pPr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0.2-0.4</w:t>
            </w:r>
          </w:p>
        </w:tc>
        <w:tc>
          <w:tcPr>
            <w:tcW w:w="826" w:type="dxa"/>
            <w:noWrap w:val="0"/>
            <w:vAlign w:val="center"/>
          </w:tcPr>
          <w:p w14:paraId="68E0FCD0">
            <w:pPr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1.4-1.65</w:t>
            </w:r>
          </w:p>
        </w:tc>
        <w:tc>
          <w:tcPr>
            <w:tcW w:w="816" w:type="dxa"/>
            <w:noWrap w:val="0"/>
            <w:vAlign w:val="center"/>
          </w:tcPr>
          <w:p w14:paraId="122BA381">
            <w:pPr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≤0.025</w:t>
            </w:r>
          </w:p>
        </w:tc>
        <w:tc>
          <w:tcPr>
            <w:tcW w:w="826" w:type="dxa"/>
            <w:noWrap w:val="0"/>
            <w:vAlign w:val="center"/>
          </w:tcPr>
          <w:p w14:paraId="20219AB0">
            <w:pPr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≤0.020</w:t>
            </w:r>
          </w:p>
        </w:tc>
        <w:tc>
          <w:tcPr>
            <w:tcW w:w="870" w:type="dxa"/>
            <w:noWrap w:val="0"/>
            <w:vAlign w:val="center"/>
          </w:tcPr>
          <w:p w14:paraId="707578F8">
            <w:pPr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≤0.2</w:t>
            </w:r>
          </w:p>
        </w:tc>
        <w:tc>
          <w:tcPr>
            <w:tcW w:w="647" w:type="dxa"/>
            <w:noWrap w:val="0"/>
            <w:vAlign w:val="center"/>
          </w:tcPr>
          <w:p w14:paraId="4ED7650D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≤0.2</w:t>
            </w:r>
          </w:p>
        </w:tc>
        <w:tc>
          <w:tcPr>
            <w:tcW w:w="621" w:type="dxa"/>
            <w:noWrap w:val="0"/>
            <w:vAlign w:val="center"/>
          </w:tcPr>
          <w:p w14:paraId="6C0D5298">
            <w:pPr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≤0.15</w:t>
            </w:r>
          </w:p>
        </w:tc>
        <w:tc>
          <w:tcPr>
            <w:tcW w:w="674" w:type="dxa"/>
            <w:noWrap w:val="0"/>
            <w:vAlign w:val="center"/>
          </w:tcPr>
          <w:p w14:paraId="65ABDEB6">
            <w:pPr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≤0.10</w:t>
            </w:r>
          </w:p>
        </w:tc>
        <w:tc>
          <w:tcPr>
            <w:tcW w:w="768" w:type="dxa"/>
            <w:noWrap w:val="0"/>
            <w:vAlign w:val="center"/>
          </w:tcPr>
          <w:p w14:paraId="3C041AAF">
            <w:pPr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0.1-0.16</w:t>
            </w:r>
          </w:p>
        </w:tc>
        <w:tc>
          <w:tcPr>
            <w:tcW w:w="520" w:type="dxa"/>
            <w:noWrap w:val="0"/>
            <w:vAlign w:val="center"/>
          </w:tcPr>
          <w:p w14:paraId="53D53573">
            <w:pPr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/</w:t>
            </w:r>
          </w:p>
        </w:tc>
      </w:tr>
    </w:tbl>
    <w:p w14:paraId="6E32600F">
      <w:pPr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外径和壁厚的允许偏差</w:t>
      </w:r>
    </w:p>
    <w:p w14:paraId="3D768199">
      <w:pPr>
        <w:rPr>
          <w:rFonts w:hint="eastAsia"/>
        </w:rPr>
      </w:pPr>
      <w:r>
        <w:rPr>
          <w:rFonts w:hint="eastAsia"/>
        </w:rPr>
        <w:t xml:space="preserve">   钢管的外径和壁厚允许偏差应符合表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的规定。</w:t>
      </w:r>
    </w:p>
    <w:p w14:paraId="4AF9EA1A">
      <w:pPr>
        <w:ind w:firstLine="360" w:firstLineChars="200"/>
        <w:jc w:val="center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表2 钢管的外径及壁厚偏差</w:t>
      </w:r>
    </w:p>
    <w:tbl>
      <w:tblPr>
        <w:tblStyle w:val="7"/>
        <w:tblpPr w:leftFromText="180" w:rightFromText="180" w:vertAnchor="text" w:horzAnchor="page" w:tblpX="2420" w:tblpY="10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2904"/>
        <w:gridCol w:w="2743"/>
      </w:tblGrid>
      <w:tr w14:paraId="2EAC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89" w:type="dxa"/>
            <w:noWrap w:val="0"/>
            <w:vAlign w:val="center"/>
          </w:tcPr>
          <w:p w14:paraId="6716258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规格，mm×mm</w:t>
            </w:r>
          </w:p>
        </w:tc>
        <w:tc>
          <w:tcPr>
            <w:tcW w:w="2904" w:type="dxa"/>
            <w:noWrap w:val="0"/>
            <w:vAlign w:val="center"/>
          </w:tcPr>
          <w:p w14:paraId="03A65599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外径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偏差，mm</w:t>
            </w:r>
          </w:p>
        </w:tc>
        <w:tc>
          <w:tcPr>
            <w:tcW w:w="2743" w:type="dxa"/>
            <w:noWrap w:val="0"/>
            <w:vAlign w:val="center"/>
          </w:tcPr>
          <w:p w14:paraId="5ECA9733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壁厚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偏差，mm</w:t>
            </w:r>
          </w:p>
        </w:tc>
      </w:tr>
      <w:tr w14:paraId="3301F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489" w:type="dxa"/>
            <w:noWrap w:val="0"/>
            <w:vAlign w:val="center"/>
          </w:tcPr>
          <w:p w14:paraId="4A70E149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Φ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160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904" w:type="dxa"/>
            <w:noWrap w:val="0"/>
            <w:vAlign w:val="center"/>
          </w:tcPr>
          <w:p w14:paraId="2DBFCBD7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+1%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D</w:t>
            </w:r>
          </w:p>
        </w:tc>
        <w:tc>
          <w:tcPr>
            <w:tcW w:w="2743" w:type="dxa"/>
            <w:noWrap w:val="0"/>
            <w:vAlign w:val="center"/>
          </w:tcPr>
          <w:p w14:paraId="1C450028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-5%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+15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％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S</w:t>
            </w:r>
          </w:p>
        </w:tc>
      </w:tr>
    </w:tbl>
    <w:p w14:paraId="1790B376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长度</w:t>
      </w:r>
    </w:p>
    <w:p w14:paraId="2A46D69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钢管长度为不定尺交货，长度范围6-12m。</w:t>
      </w:r>
    </w:p>
    <w:p w14:paraId="0B433E28">
      <w:pPr>
        <w:numPr>
          <w:ilvl w:val="0"/>
          <w:numId w:val="0"/>
        </w:numPr>
        <w:rPr>
          <w:rFonts w:hint="eastAsia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外形</w:t>
      </w:r>
    </w:p>
    <w:p w14:paraId="2300D247">
      <w:pPr>
        <w:rPr>
          <w:rFonts w:hint="eastAsia"/>
        </w:rPr>
      </w:pPr>
      <w:r>
        <w:rPr>
          <w:rFonts w:hint="eastAsia"/>
        </w:rPr>
        <w:t xml:space="preserve">   钢管的弯曲度、椭圆度、壁厚不均应符合表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的规定。</w:t>
      </w:r>
    </w:p>
    <w:p w14:paraId="053886A2">
      <w:pPr>
        <w:ind w:firstLine="360" w:firstLineChars="200"/>
        <w:jc w:val="center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表3 钢管的弯曲度、椭圆度及壁厚不均度</w:t>
      </w:r>
    </w:p>
    <w:tbl>
      <w:tblPr>
        <w:tblStyle w:val="7"/>
        <w:tblpPr w:leftFromText="180" w:rightFromText="180" w:vertAnchor="text" w:horzAnchor="page" w:tblpX="2432" w:tblpY="13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2841"/>
        <w:gridCol w:w="3032"/>
      </w:tblGrid>
      <w:tr w14:paraId="6163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9" w:type="dxa"/>
            <w:noWrap w:val="0"/>
            <w:vAlign w:val="center"/>
          </w:tcPr>
          <w:p w14:paraId="30E683D7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弯曲度/mm/m</w:t>
            </w:r>
          </w:p>
        </w:tc>
        <w:tc>
          <w:tcPr>
            <w:tcW w:w="2841" w:type="dxa"/>
            <w:noWrap w:val="0"/>
            <w:vAlign w:val="center"/>
          </w:tcPr>
          <w:p w14:paraId="57A8EEBD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椭圆度/mm</w:t>
            </w:r>
          </w:p>
        </w:tc>
        <w:tc>
          <w:tcPr>
            <w:tcW w:w="3032" w:type="dxa"/>
            <w:noWrap w:val="0"/>
            <w:vAlign w:val="center"/>
          </w:tcPr>
          <w:p w14:paraId="59F1F51D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壁厚不均/mm</w:t>
            </w:r>
          </w:p>
        </w:tc>
      </w:tr>
      <w:tr w14:paraId="4B997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2" w:type="dxa"/>
            <w:gridSpan w:val="3"/>
            <w:noWrap w:val="0"/>
            <w:vAlign w:val="center"/>
          </w:tcPr>
          <w:p w14:paraId="5C694A7D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不大于</w:t>
            </w:r>
          </w:p>
        </w:tc>
      </w:tr>
      <w:tr w14:paraId="75A33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dxa"/>
            <w:noWrap w:val="0"/>
            <w:vAlign w:val="center"/>
          </w:tcPr>
          <w:p w14:paraId="6C327E4E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1.5</w:t>
            </w:r>
          </w:p>
        </w:tc>
        <w:tc>
          <w:tcPr>
            <w:tcW w:w="2841" w:type="dxa"/>
            <w:noWrap w:val="0"/>
            <w:vAlign w:val="center"/>
          </w:tcPr>
          <w:p w14:paraId="43CD5377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%D</w:t>
            </w:r>
          </w:p>
        </w:tc>
        <w:tc>
          <w:tcPr>
            <w:tcW w:w="3032" w:type="dxa"/>
            <w:noWrap w:val="0"/>
            <w:vAlign w:val="center"/>
          </w:tcPr>
          <w:p w14:paraId="3910F19F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%S</w:t>
            </w:r>
          </w:p>
        </w:tc>
      </w:tr>
    </w:tbl>
    <w:p w14:paraId="038C7D6C">
      <w:pPr>
        <w:numPr>
          <w:ilvl w:val="0"/>
          <w:numId w:val="0"/>
        </w:numPr>
        <w:rPr>
          <w:rFonts w:hint="eastAsia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交货状态</w:t>
      </w:r>
    </w:p>
    <w:p w14:paraId="4DE81A80">
      <w:pPr>
        <w:rPr>
          <w:rFonts w:hint="eastAsia"/>
        </w:rPr>
      </w:pPr>
      <w:r>
        <w:rPr>
          <w:rFonts w:hint="eastAsia"/>
        </w:rPr>
        <w:t xml:space="preserve">   钢管应以热轧状态交货。</w:t>
      </w:r>
    </w:p>
    <w:p w14:paraId="373CFF50">
      <w:pPr>
        <w:numPr>
          <w:ilvl w:val="0"/>
          <w:numId w:val="2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钢管的力学性能</w:t>
      </w:r>
    </w:p>
    <w:p w14:paraId="00D13FDF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钢管的力学性能应符合表4的规定。</w:t>
      </w:r>
    </w:p>
    <w:p w14:paraId="69262F82">
      <w:pPr>
        <w:ind w:firstLine="360" w:firstLineChars="200"/>
        <w:jc w:val="center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表4 钢管的力学性能</w:t>
      </w:r>
    </w:p>
    <w:tbl>
      <w:tblPr>
        <w:tblStyle w:val="7"/>
        <w:tblpPr w:leftFromText="180" w:rightFromText="180" w:vertAnchor="text" w:horzAnchor="page" w:tblpX="2425" w:tblpY="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2375"/>
        <w:gridCol w:w="2012"/>
        <w:gridCol w:w="2038"/>
      </w:tblGrid>
      <w:tr w14:paraId="7093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noWrap w:val="0"/>
            <w:vAlign w:val="top"/>
          </w:tcPr>
          <w:p w14:paraId="110BB1D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钢级</w:t>
            </w:r>
          </w:p>
        </w:tc>
        <w:tc>
          <w:tcPr>
            <w:tcW w:w="2375" w:type="dxa"/>
            <w:noWrap w:val="0"/>
            <w:vAlign w:val="top"/>
          </w:tcPr>
          <w:p w14:paraId="51DAA02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屈服强度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Rt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subscript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/MPa</w:t>
            </w:r>
          </w:p>
        </w:tc>
        <w:tc>
          <w:tcPr>
            <w:tcW w:w="2012" w:type="dxa"/>
            <w:noWrap w:val="0"/>
            <w:vAlign w:val="top"/>
          </w:tcPr>
          <w:p w14:paraId="526FB4E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抗拉强度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Rm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/MPa</w:t>
            </w:r>
          </w:p>
        </w:tc>
        <w:tc>
          <w:tcPr>
            <w:tcW w:w="2038" w:type="dxa"/>
            <w:noWrap w:val="0"/>
            <w:vAlign w:val="top"/>
          </w:tcPr>
          <w:p w14:paraId="61CE515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断后伸长率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/％</w:t>
            </w:r>
          </w:p>
        </w:tc>
      </w:tr>
      <w:tr w14:paraId="1D40F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Merge w:val="restart"/>
            <w:noWrap w:val="0"/>
            <w:vAlign w:val="center"/>
          </w:tcPr>
          <w:p w14:paraId="17DE1858">
            <w:pPr>
              <w:jc w:val="center"/>
              <w:rPr>
                <w:rFonts w:hint="eastAsia"/>
                <w:sz w:val="13"/>
                <w:szCs w:val="16"/>
                <w:lang w:val="en-US" w:eastAsia="zh-CN"/>
              </w:rPr>
            </w:pPr>
            <w:r>
              <w:rPr>
                <w:rFonts w:hint="eastAsia"/>
                <w:sz w:val="13"/>
                <w:szCs w:val="16"/>
                <w:lang w:val="en-US" w:eastAsia="zh-CN"/>
              </w:rPr>
              <w:t>R780</w:t>
            </w:r>
          </w:p>
          <w:p w14:paraId="747B277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3"/>
                <w:szCs w:val="16"/>
                <w:lang w:val="en-US" w:eastAsia="zh-CN"/>
              </w:rPr>
              <w:t>(38Mn2V)</w:t>
            </w:r>
          </w:p>
        </w:tc>
        <w:tc>
          <w:tcPr>
            <w:tcW w:w="6425" w:type="dxa"/>
            <w:gridSpan w:val="3"/>
            <w:noWrap w:val="0"/>
            <w:vAlign w:val="top"/>
          </w:tcPr>
          <w:p w14:paraId="5E73290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不小于</w:t>
            </w:r>
          </w:p>
        </w:tc>
      </w:tr>
      <w:tr w14:paraId="3708F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Merge w:val="continue"/>
            <w:noWrap w:val="0"/>
            <w:vAlign w:val="top"/>
          </w:tcPr>
          <w:p w14:paraId="67EBDD0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5" w:type="dxa"/>
            <w:noWrap w:val="0"/>
            <w:vAlign w:val="top"/>
          </w:tcPr>
          <w:p w14:paraId="5294D497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520</w:t>
            </w:r>
          </w:p>
        </w:tc>
        <w:tc>
          <w:tcPr>
            <w:tcW w:w="2012" w:type="dxa"/>
            <w:noWrap w:val="0"/>
            <w:vAlign w:val="top"/>
          </w:tcPr>
          <w:p w14:paraId="3C2C77DE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780</w:t>
            </w:r>
          </w:p>
        </w:tc>
        <w:tc>
          <w:tcPr>
            <w:tcW w:w="2038" w:type="dxa"/>
            <w:noWrap w:val="0"/>
            <w:vAlign w:val="top"/>
          </w:tcPr>
          <w:p w14:paraId="24531D62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15</w:t>
            </w:r>
          </w:p>
        </w:tc>
      </w:tr>
      <w:tr w14:paraId="653D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8" w:type="dxa"/>
            <w:gridSpan w:val="4"/>
            <w:noWrap w:val="0"/>
            <w:vAlign w:val="top"/>
          </w:tcPr>
          <w:p w14:paraId="3097E96E">
            <w:pPr>
              <w:jc w:val="left"/>
              <w:rPr>
                <w:rFonts w:hint="default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注：标距A5.65</w:t>
            </w:r>
            <m:oMath>
              <m:rad>
                <m:radPr>
                  <m:degHide m:val="1"/>
                  <m:ctrlPr>
                    <w:rPr>
                      <w:rFonts w:hint="eastAsia" w:ascii="Cambria Math" w:hAnsi="宋体" w:eastAsia="宋体" w:cs="宋体"/>
                      <w:i/>
                      <w:color w:val="auto"/>
                      <w:sz w:val="16"/>
                      <w:szCs w:val="18"/>
                      <w:lang w:val="en-US" w:eastAsia="zh-CN"/>
                    </w:rPr>
                  </m:ctrlPr>
                </m:radPr>
                <m:deg>
                  <m:ctrlPr>
                    <w:rPr>
                      <w:rFonts w:hint="eastAsia" w:ascii="Cambria Math" w:hAnsi="宋体" w:eastAsia="宋体" w:cs="宋体"/>
                      <w:i/>
                      <w:color w:val="auto"/>
                      <w:sz w:val="16"/>
                      <w:szCs w:val="18"/>
                      <w:lang w:val="en-US" w:eastAsia="zh-CN"/>
                    </w:rPr>
                  </m:ctrlPr>
                </m:deg>
                <m:e>
                  <m:r>
                    <m:rPr/>
                    <w:rPr>
                      <w:rFonts w:hint="default" w:ascii="Cambria Math" w:hAnsi="Cambria Math" w:eastAsia="宋体" w:cs="宋体"/>
                      <w:color w:val="auto"/>
                      <w:kern w:val="2"/>
                      <w:sz w:val="16"/>
                      <w:szCs w:val="18"/>
                      <w:lang w:val="en-US" w:eastAsia="zh-CN" w:bidi="ar-SA"/>
                    </w:rPr>
                    <m:t>S</m:t>
                  </m:r>
                  <m:r>
                    <m:rPr/>
                    <w:rPr>
                      <w:rFonts w:hint="default" w:ascii="Cambria Math" w:hAnsi="Cambria Math" w:eastAsia="宋体" w:cs="宋体"/>
                      <w:color w:val="auto"/>
                      <w:kern w:val="2"/>
                      <w:sz w:val="16"/>
                      <w:szCs w:val="16"/>
                      <w:lang w:val="en-US" w:eastAsia="zh-CN" w:bidi="ar-SA"/>
                    </w:rPr>
                    <m:t>0</m:t>
                  </m:r>
                  <m:ctrlPr>
                    <w:rPr>
                      <w:rFonts w:hint="eastAsia" w:ascii="Cambria Math" w:hAnsi="宋体" w:eastAsia="宋体" w:cs="宋体"/>
                      <w:i/>
                      <w:color w:val="auto"/>
                      <w:sz w:val="16"/>
                      <w:szCs w:val="18"/>
                      <w:lang w:val="en-US" w:eastAsia="zh-CN"/>
                    </w:rPr>
                  </m:ctrlPr>
                </m:e>
              </m:rad>
            </m:oMath>
          </w:p>
        </w:tc>
      </w:tr>
    </w:tbl>
    <w:p w14:paraId="3DB6843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1B0CF3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7、表面质量</w:t>
      </w:r>
    </w:p>
    <w:p w14:paraId="2218B332"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钢管内外表面不得有裂缝、折迭、轧折、离层、发纹和结疤存在。</w:t>
      </w:r>
    </w:p>
    <w:p w14:paraId="59872F73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8、无损检测</w:t>
      </w:r>
    </w:p>
    <w:p w14:paraId="14F56DA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钢管应逐支采用涡流、漏磁或超声波中的一种方法进行无损探伤。验收级别分别为：用涡流探伤时，采用GB/T 7735中B级；用漏磁探伤时，采用GB/T 12606中L3级；用超声波探伤时，采用GB/T 5777中L3（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C10）级。</w:t>
      </w:r>
    </w:p>
    <w:p w14:paraId="3DC6501F">
      <w:pPr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、其他要求按</w:t>
      </w:r>
      <w:r>
        <w:rPr>
          <w:rFonts w:hint="eastAsia"/>
          <w:lang w:val="en-US" w:eastAsia="zh-CN"/>
        </w:rPr>
        <w:t>GB/T 9808-2023</w:t>
      </w:r>
      <w:r>
        <w:rPr>
          <w:rFonts w:hint="eastAsia"/>
        </w:rPr>
        <w:t>标准执行。</w:t>
      </w:r>
    </w:p>
    <w:p w14:paraId="20D52379">
      <w:pPr>
        <w:numPr>
          <w:ilvl w:val="0"/>
          <w:numId w:val="0"/>
        </w:numPr>
        <w:rPr>
          <w:rFonts w:hint="eastAsia"/>
        </w:rPr>
      </w:pPr>
      <w:r>
        <w:rPr>
          <w:rFonts w:hint="eastAsia"/>
          <w:lang w:val="en-US" w:eastAsia="zh-CN"/>
        </w:rPr>
        <w:t>10、</w:t>
      </w:r>
      <w:r>
        <w:rPr>
          <w:rFonts w:hint="eastAsia"/>
        </w:rPr>
        <w:t>本协议一式两份，具有同等的法律效力，经双方签字盖章后生效。</w:t>
      </w:r>
    </w:p>
    <w:p w14:paraId="2760D516">
      <w:pPr>
        <w:numPr>
          <w:ilvl w:val="0"/>
          <w:numId w:val="0"/>
        </w:numPr>
        <w:rPr>
          <w:rFonts w:hint="eastAsia"/>
        </w:rPr>
      </w:pPr>
      <w:r>
        <w:rPr>
          <w:rFonts w:hint="eastAsia"/>
          <w:lang w:val="en-US" w:eastAsia="zh-CN"/>
        </w:rPr>
        <w:t>11、</w:t>
      </w:r>
      <w:r>
        <w:rPr>
          <w:rFonts w:hint="eastAsia"/>
        </w:rPr>
        <w:t>其他未尽事宜，双方协商解决。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CF903D"/>
    <w:multiLevelType w:val="singleLevel"/>
    <w:tmpl w:val="92CF903D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C4E91458"/>
    <w:multiLevelType w:val="singleLevel"/>
    <w:tmpl w:val="C4E9145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NjMwMjliNGFjYzhjZjM1N2NiMDZjNTA1M2E3MmUifQ=="/>
  </w:docVars>
  <w:rsids>
    <w:rsidRoot w:val="0016439A"/>
    <w:rsid w:val="00093740"/>
    <w:rsid w:val="000C42A3"/>
    <w:rsid w:val="00152C89"/>
    <w:rsid w:val="0016439A"/>
    <w:rsid w:val="00191371"/>
    <w:rsid w:val="002D1488"/>
    <w:rsid w:val="00325DD9"/>
    <w:rsid w:val="00420757"/>
    <w:rsid w:val="005A4F38"/>
    <w:rsid w:val="00663422"/>
    <w:rsid w:val="00682832"/>
    <w:rsid w:val="006C43AF"/>
    <w:rsid w:val="00807DAA"/>
    <w:rsid w:val="008D17BA"/>
    <w:rsid w:val="009A7F8D"/>
    <w:rsid w:val="00A355F1"/>
    <w:rsid w:val="00AA62D3"/>
    <w:rsid w:val="00AC0B5C"/>
    <w:rsid w:val="00B81C76"/>
    <w:rsid w:val="00CA1E2B"/>
    <w:rsid w:val="00CB468D"/>
    <w:rsid w:val="00D00C2C"/>
    <w:rsid w:val="02BE5812"/>
    <w:rsid w:val="03140B23"/>
    <w:rsid w:val="03C52369"/>
    <w:rsid w:val="065A262C"/>
    <w:rsid w:val="0B8F6A85"/>
    <w:rsid w:val="0CAB26D5"/>
    <w:rsid w:val="0E66622E"/>
    <w:rsid w:val="0FEA120A"/>
    <w:rsid w:val="129D4C38"/>
    <w:rsid w:val="1386336B"/>
    <w:rsid w:val="174461B7"/>
    <w:rsid w:val="178A48EE"/>
    <w:rsid w:val="187037C2"/>
    <w:rsid w:val="1A303247"/>
    <w:rsid w:val="1A9E245F"/>
    <w:rsid w:val="1D1E3ED0"/>
    <w:rsid w:val="1F884CD6"/>
    <w:rsid w:val="1F8E5ECC"/>
    <w:rsid w:val="20954859"/>
    <w:rsid w:val="20C45073"/>
    <w:rsid w:val="21762B1F"/>
    <w:rsid w:val="21ED1D92"/>
    <w:rsid w:val="22CF3FA2"/>
    <w:rsid w:val="24673965"/>
    <w:rsid w:val="24892165"/>
    <w:rsid w:val="26DD65E5"/>
    <w:rsid w:val="2844761E"/>
    <w:rsid w:val="29617F40"/>
    <w:rsid w:val="2C091E38"/>
    <w:rsid w:val="2D2D1C46"/>
    <w:rsid w:val="305A5F4C"/>
    <w:rsid w:val="30902BC7"/>
    <w:rsid w:val="3502323C"/>
    <w:rsid w:val="358C241F"/>
    <w:rsid w:val="36653585"/>
    <w:rsid w:val="38661058"/>
    <w:rsid w:val="38DD4DE6"/>
    <w:rsid w:val="39DA0604"/>
    <w:rsid w:val="3A5A6632"/>
    <w:rsid w:val="3C3E319D"/>
    <w:rsid w:val="3D7958E0"/>
    <w:rsid w:val="3F886F19"/>
    <w:rsid w:val="41B24982"/>
    <w:rsid w:val="41BA6571"/>
    <w:rsid w:val="426A5BB8"/>
    <w:rsid w:val="45C52CA8"/>
    <w:rsid w:val="4CEB36DE"/>
    <w:rsid w:val="4F4F6A40"/>
    <w:rsid w:val="50966E45"/>
    <w:rsid w:val="515C7B07"/>
    <w:rsid w:val="528959B1"/>
    <w:rsid w:val="55CD7E92"/>
    <w:rsid w:val="56030B41"/>
    <w:rsid w:val="56DF510A"/>
    <w:rsid w:val="58BF78F7"/>
    <w:rsid w:val="59E76726"/>
    <w:rsid w:val="5BC078CA"/>
    <w:rsid w:val="5D1407B3"/>
    <w:rsid w:val="5FF55DD6"/>
    <w:rsid w:val="60211541"/>
    <w:rsid w:val="615B0C3E"/>
    <w:rsid w:val="61EC4D5F"/>
    <w:rsid w:val="64D136A7"/>
    <w:rsid w:val="656A4D3A"/>
    <w:rsid w:val="67AB623A"/>
    <w:rsid w:val="67F16C03"/>
    <w:rsid w:val="690A0FFF"/>
    <w:rsid w:val="6A610337"/>
    <w:rsid w:val="6CA60A3A"/>
    <w:rsid w:val="6CAC58D7"/>
    <w:rsid w:val="6D8443AC"/>
    <w:rsid w:val="6EE24EB1"/>
    <w:rsid w:val="6F5C5307"/>
    <w:rsid w:val="70162DCB"/>
    <w:rsid w:val="71DC2386"/>
    <w:rsid w:val="728669BB"/>
    <w:rsid w:val="763F631F"/>
    <w:rsid w:val="76A40760"/>
    <w:rsid w:val="7C055284"/>
    <w:rsid w:val="7E046323"/>
    <w:rsid w:val="7EEB62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qFormat/>
    <w:uiPriority w:val="0"/>
    <w:rPr>
      <w:sz w:val="21"/>
      <w:szCs w:val="21"/>
    </w:rPr>
  </w:style>
  <w:style w:type="character" w:customStyle="1" w:styleId="11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框文本 字符"/>
    <w:link w:val="3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批注主题 字符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709</Words>
  <Characters>904</Characters>
  <Lines>7</Lines>
  <Paragraphs>2</Paragraphs>
  <TotalTime>101</TotalTime>
  <ScaleCrop>false</ScaleCrop>
  <LinksUpToDate>false</LinksUpToDate>
  <CharactersWithSpaces>1371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2016-05-24T03:46:00Z</dcterms:created>
  <dc:creator>Administrator</dc:creator>
  <cp:lastModifiedBy>安东</cp:lastModifiedBy>
  <dcterms:modified xsi:type="dcterms:W3CDTF">2026-08-04T06:59:22Z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C5AB5B991C20476485DD0CF5C38435E7_13</vt:lpwstr>
  </property>
  <property fmtid="{D5CDD505-2E9C-101B-9397-08002B2CF9AE}" pid="4" name="KSOTemplateDocerSaveRecord">
    <vt:lpwstr>eyJoZGlkIjoiMTVmNzgzZjAxZjllNTI0YTlhOGQ0MThiNzI0ZGZkZDEiLCJ1c2VySWQiOiIzMzc1MjAxMTIifQ==</vt:lpwstr>
  </property>
</Properties>
</file>