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DF" w:rsidRDefault="008601DF">
      <w:pPr>
        <w:tabs>
          <w:tab w:val="left" w:pos="0"/>
          <w:tab w:val="decimal" w:pos="8460"/>
          <w:tab w:val="right" w:leader="dot" w:pos="10800"/>
        </w:tabs>
        <w:spacing w:afterLines="50" w:after="156"/>
        <w:ind w:rightChars="-25" w:right="-50"/>
        <w:outlineLvl w:val="0"/>
        <w:rPr>
          <w:rFonts w:ascii="Arial" w:eastAsia="黑体" w:hAnsi="Arial" w:cs="Arial"/>
          <w:b/>
          <w:sz w:val="18"/>
        </w:rPr>
      </w:pPr>
    </w:p>
    <w:p w:rsidR="008601DF" w:rsidRDefault="008601DF">
      <w:pPr>
        <w:rPr>
          <w:rFonts w:ascii="Arial" w:hAnsi="Arial" w:cs="Arial"/>
          <w:sz w:val="44"/>
          <w:szCs w:val="44"/>
        </w:rPr>
      </w:pPr>
    </w:p>
    <w:p w:rsidR="008601DF" w:rsidRDefault="008601DF">
      <w:pPr>
        <w:rPr>
          <w:rFonts w:ascii="Arial" w:hAnsi="Arial" w:cs="Arial"/>
          <w:sz w:val="44"/>
          <w:szCs w:val="44"/>
        </w:rPr>
      </w:pPr>
    </w:p>
    <w:p w:rsidR="008601DF" w:rsidRDefault="008601DF">
      <w:pPr>
        <w:spacing w:line="520" w:lineRule="exact"/>
        <w:jc w:val="center"/>
        <w:rPr>
          <w:rFonts w:ascii="Arial" w:hAnsi="Arial" w:cs="Arial"/>
          <w:b/>
          <w:spacing w:val="40"/>
          <w:w w:val="90"/>
          <w:sz w:val="44"/>
          <w:szCs w:val="44"/>
        </w:rPr>
      </w:pPr>
    </w:p>
    <w:p w:rsidR="00D14D48" w:rsidRDefault="00D14D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48"/>
          <w:szCs w:val="48"/>
        </w:rPr>
      </w:pP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山东润扬环保设备有限公司</w:t>
      </w:r>
    </w:p>
    <w:p w:rsidR="008601DF" w:rsidRDefault="00D14D48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喷漆喷砂系统设备采购项目</w:t>
      </w: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bCs/>
          <w:w w:val="85"/>
          <w:sz w:val="44"/>
          <w:szCs w:val="44"/>
        </w:rPr>
      </w:pPr>
    </w:p>
    <w:p w:rsidR="008601DF" w:rsidRPr="00D14D48" w:rsidRDefault="00D14D48" w:rsidP="00D14D48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Arial"/>
          <w:b/>
          <w:bCs/>
          <w:sz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</w:rPr>
        <w:t>喷砂系统</w:t>
      </w:r>
      <w:r w:rsidR="001F78F2" w:rsidRPr="00D14D48">
        <w:rPr>
          <w:rFonts w:asciiTheme="minorEastAsia" w:eastAsiaTheme="minorEastAsia" w:hAnsiTheme="minorEastAsia" w:cs="Arial"/>
          <w:b/>
          <w:bCs/>
          <w:sz w:val="44"/>
        </w:rPr>
        <w:t>技术协议</w:t>
      </w:r>
    </w:p>
    <w:p w:rsidR="008601DF" w:rsidRPr="00D14D48" w:rsidRDefault="00D14D48">
      <w:pPr>
        <w:jc w:val="center"/>
        <w:rPr>
          <w:rFonts w:ascii="Arial" w:hAnsi="Arial" w:cs="Arial"/>
          <w:b/>
          <w:spacing w:val="40"/>
          <w:sz w:val="30"/>
          <w:szCs w:val="30"/>
        </w:rPr>
      </w:pPr>
      <w:r w:rsidRPr="00D14D48">
        <w:rPr>
          <w:rFonts w:asciiTheme="minorEastAsia" w:eastAsiaTheme="minorEastAsia" w:hAnsiTheme="minorEastAsia" w:cs="Arial" w:hint="eastAsia"/>
          <w:b/>
          <w:spacing w:val="40"/>
          <w:sz w:val="30"/>
          <w:szCs w:val="30"/>
        </w:rPr>
        <w:t>（</w:t>
      </w:r>
      <w:r w:rsidR="007D45C1">
        <w:rPr>
          <w:rFonts w:asciiTheme="minorEastAsia" w:eastAsiaTheme="minorEastAsia" w:hAnsiTheme="minorEastAsia" w:cs="Arial" w:hint="eastAsia"/>
          <w:b/>
          <w:spacing w:val="40"/>
          <w:sz w:val="30"/>
          <w:szCs w:val="30"/>
        </w:rPr>
        <w:t>最好</w:t>
      </w:r>
      <w:r w:rsidRPr="00D14D48">
        <w:rPr>
          <w:rFonts w:asciiTheme="minorEastAsia" w:eastAsiaTheme="minorEastAsia" w:hAnsiTheme="minorEastAsia" w:cs="Arial" w:hint="eastAsia"/>
          <w:b/>
          <w:spacing w:val="40"/>
          <w:sz w:val="30"/>
          <w:szCs w:val="30"/>
        </w:rPr>
        <w:t>面谈技术交流）</w:t>
      </w: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</w:p>
    <w:p w:rsidR="008601DF" w:rsidRDefault="001F78F2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买方：</w:t>
      </w:r>
    </w:p>
    <w:p w:rsidR="008601DF" w:rsidRDefault="001F78F2">
      <w:pPr>
        <w:pStyle w:val="a3"/>
        <w:ind w:left="0" w:firstLine="0"/>
        <w:jc w:val="center"/>
        <w:rPr>
          <w:rFonts w:ascii="Arial" w:eastAsia="宋体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卖方：</w:t>
      </w:r>
      <w:r>
        <w:rPr>
          <w:rFonts w:ascii="Arial" w:eastAsia="宋体" w:hAnsi="Arial" w:cs="Arial" w:hint="eastAsia"/>
          <w:color w:val="FF0000"/>
          <w:sz w:val="32"/>
          <w:szCs w:val="32"/>
        </w:rPr>
        <w:t>卖方填写</w:t>
      </w:r>
    </w:p>
    <w:p w:rsidR="008601DF" w:rsidRDefault="001F78F2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2019年</w:t>
      </w:r>
      <w:r w:rsidR="00D14D48">
        <w:rPr>
          <w:rFonts w:ascii="Arial" w:eastAsia="宋体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月</w:t>
      </w: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/>
        </w:rPr>
        <w:br w:type="page"/>
      </w:r>
      <w:bookmarkStart w:id="0" w:name="_Toc450222720"/>
      <w:bookmarkStart w:id="1" w:name="_Toc72226705"/>
      <w:bookmarkStart w:id="2" w:name="_Toc502251244"/>
      <w:bookmarkStart w:id="3" w:name="_Toc362179172"/>
      <w:bookmarkStart w:id="4" w:name="_Toc203901121"/>
      <w:r>
        <w:rPr>
          <w:rFonts w:eastAsia="宋体" w:hint="eastAsia"/>
          <w:b/>
          <w:snapToGrid w:val="0"/>
          <w:sz w:val="28"/>
        </w:rPr>
        <w:lastRenderedPageBreak/>
        <w:t>一、订货清单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45"/>
        <w:gridCol w:w="2834"/>
        <w:gridCol w:w="708"/>
        <w:gridCol w:w="710"/>
        <w:gridCol w:w="1330"/>
        <w:gridCol w:w="1861"/>
      </w:tblGrid>
      <w:tr w:rsidR="008601DF">
        <w:trPr>
          <w:trHeight w:val="397"/>
          <w:jc w:val="center"/>
        </w:trPr>
        <w:tc>
          <w:tcPr>
            <w:tcW w:w="849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kern w:val="44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44"/>
                <w:sz w:val="24"/>
                <w:szCs w:val="24"/>
              </w:rPr>
              <w:t>设备</w:t>
            </w:r>
            <w:r>
              <w:rPr>
                <w:rFonts w:eastAsia="宋体"/>
                <w:b/>
                <w:kern w:val="44"/>
                <w:sz w:val="24"/>
                <w:szCs w:val="24"/>
              </w:rPr>
              <w:t>名称</w:t>
            </w:r>
          </w:p>
        </w:tc>
        <w:tc>
          <w:tcPr>
            <w:tcW w:w="2834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规格</w:t>
            </w:r>
            <w:r>
              <w:rPr>
                <w:rFonts w:eastAsia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710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330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61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备注</w:t>
            </w:r>
          </w:p>
        </w:tc>
      </w:tr>
      <w:tr w:rsidR="008601DF">
        <w:trPr>
          <w:trHeight w:val="397"/>
          <w:jc w:val="center"/>
        </w:trPr>
        <w:tc>
          <w:tcPr>
            <w:tcW w:w="849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8601DF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喷砂</w:t>
            </w:r>
            <w:r w:rsidR="00A11E95">
              <w:rPr>
                <w:rFonts w:eastAsia="宋体" w:hint="eastAsia"/>
                <w:sz w:val="24"/>
                <w:szCs w:val="24"/>
              </w:rPr>
              <w:t>机组件</w:t>
            </w:r>
          </w:p>
        </w:tc>
        <w:tc>
          <w:tcPr>
            <w:tcW w:w="2834" w:type="dxa"/>
            <w:vAlign w:val="center"/>
          </w:tcPr>
          <w:p w:rsidR="008601DF" w:rsidRDefault="007D45C1">
            <w:pPr>
              <w:spacing w:line="320" w:lineRule="exact"/>
              <w:jc w:val="left"/>
              <w:rPr>
                <w:rFonts w:eastAsia="宋体"/>
                <w:bCs/>
                <w:sz w:val="24"/>
                <w:szCs w:val="24"/>
              </w:rPr>
            </w:pPr>
            <w:r w:rsidRPr="007D45C1">
              <w:rPr>
                <w:rFonts w:eastAsia="宋体" w:hint="eastAsia"/>
                <w:bCs/>
                <w:sz w:val="24"/>
                <w:szCs w:val="24"/>
              </w:rPr>
              <w:t>双仓连续进料式喷砂机</w:t>
            </w:r>
          </w:p>
          <w:p w:rsidR="007D45C1" w:rsidRDefault="007D45C1">
            <w:pPr>
              <w:spacing w:line="320" w:lineRule="exact"/>
              <w:jc w:val="left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1DF" w:rsidRDefault="001F78F2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710" w:type="dxa"/>
            <w:vAlign w:val="center"/>
          </w:tcPr>
          <w:p w:rsidR="008601DF" w:rsidRDefault="001F78F2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8601DF" w:rsidRDefault="001F78F2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国产优质</w:t>
            </w:r>
          </w:p>
        </w:tc>
        <w:tc>
          <w:tcPr>
            <w:tcW w:w="1861" w:type="dxa"/>
            <w:vAlign w:val="center"/>
          </w:tcPr>
          <w:p w:rsidR="008601DF" w:rsidRDefault="008601D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14D48">
        <w:trPr>
          <w:trHeight w:val="397"/>
          <w:jc w:val="center"/>
        </w:trPr>
        <w:tc>
          <w:tcPr>
            <w:tcW w:w="849" w:type="dxa"/>
            <w:vAlign w:val="center"/>
          </w:tcPr>
          <w:p w:rsidR="00D14D48" w:rsidRDefault="00D14D48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斗提机</w:t>
            </w:r>
          </w:p>
        </w:tc>
        <w:tc>
          <w:tcPr>
            <w:tcW w:w="2834" w:type="dxa"/>
            <w:vAlign w:val="center"/>
          </w:tcPr>
          <w:p w:rsidR="00D14D48" w:rsidRDefault="00D14D48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与喷砂罐配套</w:t>
            </w:r>
          </w:p>
        </w:tc>
        <w:tc>
          <w:tcPr>
            <w:tcW w:w="708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10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D14D48" w:rsidRDefault="007D45C1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国产优质</w:t>
            </w:r>
          </w:p>
        </w:tc>
        <w:tc>
          <w:tcPr>
            <w:tcW w:w="1861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14D48">
        <w:trPr>
          <w:trHeight w:val="397"/>
          <w:jc w:val="center"/>
        </w:trPr>
        <w:tc>
          <w:tcPr>
            <w:tcW w:w="849" w:type="dxa"/>
            <w:vAlign w:val="center"/>
          </w:tcPr>
          <w:p w:rsidR="00D14D48" w:rsidRDefault="00D14D48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整合框架</w:t>
            </w:r>
          </w:p>
        </w:tc>
        <w:tc>
          <w:tcPr>
            <w:tcW w:w="2834" w:type="dxa"/>
            <w:vAlign w:val="center"/>
          </w:tcPr>
          <w:p w:rsidR="00D14D48" w:rsidRDefault="00D14D48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  <w:tc>
          <w:tcPr>
            <w:tcW w:w="710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14D48" w:rsidRDefault="007D45C1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（厂家根据基础配套）</w:t>
            </w:r>
          </w:p>
        </w:tc>
      </w:tr>
      <w:tr w:rsidR="00D14D48">
        <w:trPr>
          <w:trHeight w:val="397"/>
          <w:jc w:val="center"/>
        </w:trPr>
        <w:tc>
          <w:tcPr>
            <w:tcW w:w="849" w:type="dxa"/>
            <w:vAlign w:val="center"/>
          </w:tcPr>
          <w:p w:rsidR="00D14D48" w:rsidRDefault="00D14D48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D14D48" w:rsidRDefault="00D14D48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14D48" w:rsidRDefault="00D14D48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601DF" w:rsidRDefault="001F78F2">
      <w:pPr>
        <w:tabs>
          <w:tab w:val="left" w:pos="480"/>
        </w:tabs>
        <w:snapToGrid w:val="0"/>
        <w:spacing w:beforeLines="50" w:before="156" w:line="360" w:lineRule="auto"/>
        <w:rPr>
          <w:sz w:val="21"/>
          <w:szCs w:val="21"/>
        </w:rPr>
      </w:pPr>
      <w:r>
        <w:rPr>
          <w:sz w:val="21"/>
          <w:szCs w:val="21"/>
        </w:rPr>
        <w:t>备注：</w:t>
      </w:r>
    </w:p>
    <w:p w:rsidR="008601DF" w:rsidRDefault="001F78F2">
      <w:pPr>
        <w:pStyle w:val="a8"/>
        <w:tabs>
          <w:tab w:val="left" w:pos="900"/>
          <w:tab w:val="left" w:pos="1092"/>
        </w:tabs>
        <w:spacing w:after="0" w:line="360" w:lineRule="auto"/>
        <w:ind w:firstLineChars="200" w:firstLine="420"/>
        <w:rPr>
          <w:bCs/>
          <w:kern w:val="0"/>
        </w:rPr>
      </w:pPr>
      <w:r>
        <w:rPr>
          <w:rFonts w:hint="eastAsia"/>
          <w:bCs/>
          <w:kern w:val="0"/>
        </w:rPr>
        <w:t>卖方根据附图</w:t>
      </w:r>
      <w:r w:rsidR="00D14D48">
        <w:rPr>
          <w:rFonts w:hint="eastAsia"/>
          <w:bCs/>
          <w:kern w:val="0"/>
        </w:rPr>
        <w:t>基础图</w:t>
      </w:r>
      <w:r w:rsidR="00A11E95">
        <w:rPr>
          <w:rFonts w:hint="eastAsia"/>
          <w:bCs/>
          <w:kern w:val="0"/>
        </w:rPr>
        <w:t>（见附图）</w:t>
      </w:r>
      <w:r>
        <w:rPr>
          <w:rFonts w:hint="eastAsia"/>
          <w:bCs/>
          <w:kern w:val="0"/>
        </w:rPr>
        <w:t>要求</w:t>
      </w:r>
      <w:r w:rsidR="00D14D48">
        <w:rPr>
          <w:rFonts w:hint="eastAsia"/>
          <w:bCs/>
          <w:kern w:val="0"/>
        </w:rPr>
        <w:t>进行喷砂罐与斗提机的配套安装</w:t>
      </w:r>
      <w:r>
        <w:rPr>
          <w:rFonts w:hint="eastAsia"/>
          <w:bCs/>
          <w:kern w:val="0"/>
        </w:rPr>
        <w:t>，买方将对卖方提供的图纸进行确认，但卖方需对产品设计、制作进行负责，不能以买方已进行确认而进行责任的推脱。设备生产前卖方须将图纸提供给买方确认。</w:t>
      </w:r>
    </w:p>
    <w:p w:rsidR="007D45C1" w:rsidRDefault="00A11E95">
      <w:pPr>
        <w:pStyle w:val="a8"/>
        <w:tabs>
          <w:tab w:val="left" w:pos="900"/>
          <w:tab w:val="left" w:pos="1092"/>
        </w:tabs>
        <w:spacing w:after="0" w:line="360" w:lineRule="auto"/>
        <w:ind w:firstLineChars="200" w:firstLine="420"/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卖方</w:t>
      </w:r>
      <w:r w:rsidR="007D45C1">
        <w:rPr>
          <w:rFonts w:hint="eastAsia"/>
          <w:bCs/>
          <w:kern w:val="0"/>
        </w:rPr>
        <w:t>提供压力容器出厂和到货验收的所有检测及测试资料。</w:t>
      </w:r>
    </w:p>
    <w:p w:rsidR="008601DF" w:rsidRDefault="008601DF">
      <w:pPr>
        <w:tabs>
          <w:tab w:val="left" w:pos="480"/>
        </w:tabs>
        <w:snapToGrid w:val="0"/>
        <w:spacing w:line="360" w:lineRule="auto"/>
        <w:ind w:left="480"/>
        <w:rPr>
          <w:rFonts w:eastAsiaTheme="minorEastAsia"/>
        </w:rPr>
      </w:pPr>
    </w:p>
    <w:p w:rsidR="008601DF" w:rsidRDefault="008601DF">
      <w:pPr>
        <w:pStyle w:val="af9"/>
        <w:tabs>
          <w:tab w:val="left" w:pos="480"/>
        </w:tabs>
        <w:snapToGrid w:val="0"/>
        <w:spacing w:line="360" w:lineRule="auto"/>
        <w:ind w:left="840"/>
      </w:pPr>
    </w:p>
    <w:p w:rsidR="008601DF" w:rsidRDefault="008601DF">
      <w:pPr>
        <w:snapToGrid w:val="0"/>
        <w:spacing w:line="360" w:lineRule="auto"/>
        <w:ind w:firstLineChars="200" w:firstLine="480"/>
        <w:jc w:val="left"/>
        <w:rPr>
          <w:rFonts w:eastAsia="宋体"/>
          <w:snapToGrid w:val="0"/>
          <w:sz w:val="24"/>
          <w:szCs w:val="24"/>
        </w:rPr>
      </w:pPr>
    </w:p>
    <w:p w:rsidR="008601DF" w:rsidRDefault="008601DF">
      <w:pPr>
        <w:snapToGrid w:val="0"/>
        <w:spacing w:line="360" w:lineRule="auto"/>
        <w:ind w:firstLineChars="200" w:firstLine="480"/>
        <w:jc w:val="left"/>
        <w:rPr>
          <w:rFonts w:eastAsia="宋体"/>
          <w:snapToGrid w:val="0"/>
          <w:sz w:val="24"/>
          <w:szCs w:val="24"/>
        </w:rPr>
        <w:sectPr w:rsidR="008601DF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12"/>
        </w:sectPr>
      </w:pPr>
      <w:bookmarkStart w:id="5" w:name="_GoBack"/>
      <w:bookmarkEnd w:id="5"/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lastRenderedPageBreak/>
        <w:t>二、</w:t>
      </w:r>
      <w:r w:rsidR="007D45C1">
        <w:rPr>
          <w:rFonts w:eastAsia="宋体" w:hint="eastAsia"/>
          <w:b/>
          <w:snapToGrid w:val="0"/>
          <w:sz w:val="28"/>
        </w:rPr>
        <w:t>详细</w:t>
      </w:r>
      <w:r>
        <w:rPr>
          <w:rFonts w:eastAsia="宋体" w:hint="eastAsia"/>
          <w:b/>
          <w:snapToGrid w:val="0"/>
          <w:sz w:val="28"/>
        </w:rPr>
        <w:t>技术要求</w:t>
      </w:r>
    </w:p>
    <w:bookmarkEnd w:id="0"/>
    <w:bookmarkEnd w:id="1"/>
    <w:bookmarkEnd w:id="2"/>
    <w:bookmarkEnd w:id="3"/>
    <w:bookmarkEnd w:id="4"/>
    <w:p w:rsidR="008601DF" w:rsidRDefault="001F78F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D14D48">
        <w:rPr>
          <w:rFonts w:ascii="宋体" w:eastAsia="宋体" w:hAnsi="宋体" w:cs="宋体" w:hint="eastAsia"/>
          <w:sz w:val="24"/>
          <w:szCs w:val="24"/>
        </w:rPr>
        <w:t>喷砂系统</w:t>
      </w:r>
      <w:r w:rsidR="007D45C1">
        <w:rPr>
          <w:rFonts w:ascii="宋体" w:eastAsia="宋体" w:hAnsi="宋体" w:cs="宋体" w:hint="eastAsia"/>
          <w:sz w:val="24"/>
          <w:szCs w:val="24"/>
        </w:rPr>
        <w:t>技术说明</w:t>
      </w:r>
      <w:r>
        <w:rPr>
          <w:rFonts w:ascii="宋体" w:eastAsia="宋体" w:hAnsi="宋体"/>
          <w:sz w:val="24"/>
          <w:szCs w:val="24"/>
        </w:rPr>
        <w:t>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6051"/>
      </w:tblGrid>
      <w:tr w:rsidR="007D45C1" w:rsidRPr="007D45C1" w:rsidTr="00BE6DA1">
        <w:trPr>
          <w:trHeight w:val="474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项目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参数</w:t>
            </w:r>
          </w:p>
        </w:tc>
      </w:tr>
      <w:tr w:rsidR="007D45C1" w:rsidRPr="007D45C1" w:rsidTr="00BE6DA1">
        <w:trPr>
          <w:trHeight w:val="177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喷砂材质对象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 xml:space="preserve">钢材表面处理 </w:t>
            </w:r>
            <w:r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 xml:space="preserve">          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磨料：铸钢砂直径0.8～1.2mm（S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330,S390,G25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）型钢砂</w:t>
            </w:r>
          </w:p>
        </w:tc>
      </w:tr>
      <w:tr w:rsidR="007D45C1" w:rsidRPr="007D45C1" w:rsidTr="00BE6DA1">
        <w:trPr>
          <w:trHeight w:val="446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砂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机主机型号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双仓连续进料式喷砂机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（并必须提供压力许可证)</w:t>
            </w:r>
          </w:p>
        </w:tc>
      </w:tr>
      <w:tr w:rsidR="007D45C1" w:rsidRPr="007D45C1" w:rsidTr="00BE6DA1">
        <w:trPr>
          <w:trHeight w:val="369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喷砂机数量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1台</w:t>
            </w:r>
          </w:p>
        </w:tc>
      </w:tr>
      <w:tr w:rsidR="007D45C1" w:rsidRPr="007D45C1" w:rsidTr="00BE6DA1">
        <w:trPr>
          <w:trHeight w:val="277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磨料回收方式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人工回砂，基坑、斗提，在回砂基坑处设初级分离筛板，用于分离人工清砂带回的地面大颗粒异物。</w:t>
            </w:r>
          </w:p>
        </w:tc>
      </w:tr>
      <w:tr w:rsidR="007D45C1" w:rsidRPr="007D45C1" w:rsidTr="00BE6DA1">
        <w:trPr>
          <w:trHeight w:val="277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回砂管组件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从室内收集口到斗提回料口管道</w:t>
            </w:r>
          </w:p>
        </w:tc>
      </w:tr>
      <w:tr w:rsidR="007D45C1" w:rsidRPr="007D45C1" w:rsidTr="00BE6DA1">
        <w:trPr>
          <w:trHeight w:val="199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喷砂罐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参数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直径</w:t>
            </w: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9</w:t>
            </w:r>
            <w:r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00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mm，高度：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 xml:space="preserve"> mm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，容积0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.</w:t>
            </w:r>
            <w:r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6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m3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：，装砂量：</w:t>
            </w:r>
          </w:p>
        </w:tc>
      </w:tr>
      <w:tr w:rsidR="007D45C1" w:rsidRPr="007D45C1" w:rsidTr="00BE6DA1">
        <w:trPr>
          <w:trHeight w:val="199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喷砂罐材质及厚度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Q235A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 xml:space="preserve">       δ≥5mm</w:t>
            </w:r>
          </w:p>
        </w:tc>
      </w:tr>
      <w:tr w:rsidR="007D45C1" w:rsidRPr="007D45C1" w:rsidTr="00BE6DA1">
        <w:trPr>
          <w:trHeight w:val="299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喷枪数量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二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把（一用一备）</w:t>
            </w:r>
          </w:p>
        </w:tc>
      </w:tr>
      <w:tr w:rsidR="007D45C1" w:rsidRPr="007D45C1" w:rsidTr="00BE6DA1">
        <w:trPr>
          <w:trHeight w:val="235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喷嘴直径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Ф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1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7D45C1" w:rsidRPr="007D45C1" w:rsidTr="00BE6DA1">
        <w:trPr>
          <w:trHeight w:val="284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喷嘴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使用寿命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≥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1000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h</w:t>
            </w:r>
          </w:p>
        </w:tc>
      </w:tr>
      <w:tr w:rsidR="007D45C1" w:rsidRPr="007D45C1" w:rsidTr="00BE6DA1">
        <w:trPr>
          <w:trHeight w:val="335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喷砂管使用寿命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≥</w:t>
            </w:r>
            <w:r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10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00h</w:t>
            </w:r>
          </w:p>
        </w:tc>
      </w:tr>
      <w:tr w:rsidR="007D45C1" w:rsidRPr="007D45C1" w:rsidTr="00BE6DA1">
        <w:trPr>
          <w:trHeight w:val="335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喷砂管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采用耐磨专用喷砂管，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Ф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32×5mm，长20m，数量：2条；寿命：≥800h（喷砂管一端配灵活便捷的快速接头，另一端配喷咀接头）</w:t>
            </w:r>
          </w:p>
        </w:tc>
      </w:tr>
      <w:tr w:rsidR="007D45C1" w:rsidRPr="007D45C1" w:rsidTr="00BE6DA1">
        <w:trPr>
          <w:trHeight w:val="335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供气管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采用防爆供气管：</w:t>
            </w:r>
          </w:p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数量： 2条</w:t>
            </w:r>
          </w:p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寿命：≥1000h</w:t>
            </w:r>
          </w:p>
        </w:tc>
      </w:tr>
      <w:tr w:rsidR="007D45C1" w:rsidRPr="007D45C1" w:rsidTr="00BE6DA1">
        <w:trPr>
          <w:trHeight w:val="76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单枪清理速度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≥1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5-</w:t>
            </w:r>
            <w:r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2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0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m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²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/h</w:t>
            </w:r>
          </w:p>
        </w:tc>
      </w:tr>
      <w:tr w:rsidR="007D45C1" w:rsidRPr="007D45C1" w:rsidTr="00BE6DA1">
        <w:trPr>
          <w:trHeight w:val="466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单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枪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耗气量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约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6.1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m³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/min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(与喷嘴口径关联)</w:t>
            </w:r>
          </w:p>
        </w:tc>
      </w:tr>
      <w:tr w:rsidR="007D45C1" w:rsidRPr="007D45C1" w:rsidTr="00BE6DA1">
        <w:trPr>
          <w:trHeight w:val="246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喷砂压力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0.6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～0.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8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MPa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（0.4-0.6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 xml:space="preserve"> MPa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？）</w:t>
            </w:r>
          </w:p>
        </w:tc>
      </w:tr>
      <w:tr w:rsidR="007D45C1" w:rsidRPr="007D45C1" w:rsidTr="00BE6DA1">
        <w:trPr>
          <w:trHeight w:val="309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喷砂流量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0～220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0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Kg/h/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枪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且任意可调</w:t>
            </w:r>
          </w:p>
        </w:tc>
      </w:tr>
      <w:tr w:rsidR="007D45C1" w:rsidRPr="007D45C1" w:rsidTr="00BE6DA1">
        <w:trPr>
          <w:trHeight w:val="359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喷枪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/ 喷嘴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材质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碳化硼(外镶碳钢防护套)</w:t>
            </w:r>
          </w:p>
        </w:tc>
      </w:tr>
      <w:tr w:rsidR="007D45C1" w:rsidRPr="007D45C1" w:rsidTr="00BE6DA1">
        <w:trPr>
          <w:trHeight w:val="266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lastRenderedPageBreak/>
              <w:t>喷砂除锈等级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符合ISO8501-1（GB8923）；洁净度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≥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Sa2.5</w:t>
            </w:r>
            <w:r w:rsidRPr="007D45C1"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～</w:t>
            </w: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Sa3.0</w:t>
            </w:r>
          </w:p>
        </w:tc>
      </w:tr>
      <w:tr w:rsidR="007D45C1" w:rsidRPr="007D45C1" w:rsidTr="00BE6DA1">
        <w:trPr>
          <w:trHeight w:val="330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砂尘分选器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567"/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 w:rsidRPr="007D45C1"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经斗提提升进入喷砂罐之前，增加一通风管道至室内除尘系统除尘装置入口，利用引风进行除尘。</w:t>
            </w:r>
          </w:p>
        </w:tc>
      </w:tr>
      <w:tr w:rsidR="007D45C1" w:rsidRPr="007D45C1" w:rsidTr="00BE6DA1">
        <w:trPr>
          <w:trHeight w:val="253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567"/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</w:p>
        </w:tc>
      </w:tr>
      <w:tr w:rsidR="007D45C1" w:rsidRPr="007D45C1" w:rsidTr="00BE6DA1">
        <w:trPr>
          <w:trHeight w:val="253"/>
          <w:jc w:val="center"/>
        </w:trPr>
        <w:tc>
          <w:tcPr>
            <w:tcW w:w="2313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斗提机及现场控制开关</w:t>
            </w: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567"/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按照基坑及喷砂罐配套，建议3-</w:t>
            </w:r>
            <w:r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  <w:t>5</w:t>
            </w: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立方米</w:t>
            </w:r>
          </w:p>
        </w:tc>
      </w:tr>
      <w:tr w:rsidR="007D45C1" w:rsidRPr="007D45C1" w:rsidTr="00BE6DA1">
        <w:trPr>
          <w:trHeight w:val="253"/>
          <w:jc w:val="center"/>
        </w:trPr>
        <w:tc>
          <w:tcPr>
            <w:tcW w:w="2313" w:type="dxa"/>
            <w:vAlign w:val="center"/>
          </w:tcPr>
          <w:p w:rsid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7D45C1" w:rsidRPr="007D45C1" w:rsidRDefault="007D45C1" w:rsidP="007D45C1">
            <w:pPr>
              <w:widowControl w:val="0"/>
              <w:tabs>
                <w:tab w:val="left" w:pos="567"/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</w:p>
        </w:tc>
      </w:tr>
      <w:tr w:rsidR="007D45C1" w:rsidRPr="007D45C1" w:rsidTr="00BE6DA1">
        <w:trPr>
          <w:trHeight w:val="253"/>
          <w:jc w:val="center"/>
        </w:trPr>
        <w:tc>
          <w:tcPr>
            <w:tcW w:w="2313" w:type="dxa"/>
            <w:vAlign w:val="center"/>
          </w:tcPr>
          <w:p w:rsidR="007D45C1" w:rsidRDefault="007D45C1" w:rsidP="007D45C1">
            <w:pPr>
              <w:widowControl w:val="0"/>
              <w:tabs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喷砂控制方式</w:t>
            </w:r>
          </w:p>
        </w:tc>
        <w:tc>
          <w:tcPr>
            <w:tcW w:w="6051" w:type="dxa"/>
            <w:vAlign w:val="center"/>
          </w:tcPr>
          <w:p w:rsidR="007D45C1" w:rsidRPr="007D45C1" w:rsidRDefault="00A11E95" w:rsidP="007D45C1">
            <w:pPr>
              <w:widowControl w:val="0"/>
              <w:tabs>
                <w:tab w:val="left" w:pos="567"/>
                <w:tab w:val="left" w:pos="622"/>
              </w:tabs>
              <w:spacing w:line="500" w:lineRule="exact"/>
              <w:jc w:val="left"/>
              <w:rPr>
                <w:rFonts w:ascii="宋体" w:eastAsia="宋体" w:hAnsi="宋体" w:cs="Arial"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2"/>
                <w:sz w:val="24"/>
                <w:szCs w:val="24"/>
              </w:rPr>
              <w:t>气动调节</w:t>
            </w:r>
          </w:p>
        </w:tc>
      </w:tr>
    </w:tbl>
    <w:p w:rsidR="007D45C1" w:rsidRDefault="007D45C1">
      <w:pPr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8601DF" w:rsidRDefault="001F78F2">
      <w:pPr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2、技术</w:t>
      </w:r>
      <w:r w:rsidR="007D45C1">
        <w:rPr>
          <w:rFonts w:ascii="宋体" w:eastAsia="宋体" w:hAnsi="宋体" w:cs="宋体" w:hint="eastAsia"/>
          <w:sz w:val="24"/>
          <w:szCs w:val="24"/>
        </w:rPr>
        <w:t>规范</w:t>
      </w:r>
      <w:r>
        <w:rPr>
          <w:rFonts w:ascii="宋体" w:eastAsia="宋体" w:hAnsi="宋体" w:cs="宋体" w:hint="eastAsia"/>
          <w:sz w:val="24"/>
          <w:szCs w:val="24"/>
        </w:rPr>
        <w:t>要求</w:t>
      </w:r>
    </w:p>
    <w:p w:rsidR="008601DF" w:rsidRDefault="001F78F2">
      <w:pPr>
        <w:pStyle w:val="af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1、制造检验标准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GB/T 50231-2009《机械设备安装工程施工及验收通用规范》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JB/T 5943-1991《工程机械焊接件通用技术条件》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GB12265-90  《机械防护安全距离》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GB/T4709-2000 《钢质压力容器焊接工艺评定》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GB150-1998  《压力容器安全技术检查规程》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JB/T10349-2002《干式喷砂机》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JB/T8355-96《 抛喷砂设备通用技术条件》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GB8160-87 《机械设备防护罩安全标准要求》</w:t>
      </w:r>
    </w:p>
    <w:p w:rsidR="00E623FE" w:rsidRPr="00E623FE" w:rsidRDefault="00E623FE" w:rsidP="00E623FE">
      <w:pPr>
        <w:pStyle w:val="af9"/>
        <w:spacing w:line="360" w:lineRule="auto"/>
        <w:rPr>
          <w:rFonts w:ascii="宋体" w:hAnsi="宋体"/>
          <w:sz w:val="24"/>
          <w:szCs w:val="24"/>
        </w:rPr>
      </w:pPr>
      <w:r w:rsidRPr="00E623FE">
        <w:rPr>
          <w:rFonts w:ascii="宋体" w:hAnsi="宋体" w:hint="eastAsia"/>
          <w:sz w:val="24"/>
          <w:szCs w:val="24"/>
        </w:rPr>
        <w:t>GB/T13288-1991  《涂装前钢材表面粗糙度的评定》</w:t>
      </w:r>
    </w:p>
    <w:p w:rsidR="008601DF" w:rsidRDefault="008601DF">
      <w:pPr>
        <w:pStyle w:val="af9"/>
        <w:spacing w:line="360" w:lineRule="auto"/>
        <w:rPr>
          <w:rFonts w:ascii="宋体" w:hAnsi="宋体"/>
          <w:sz w:val="24"/>
          <w:szCs w:val="24"/>
        </w:rPr>
      </w:pPr>
    </w:p>
    <w:p w:rsidR="008601DF" w:rsidRDefault="001F78F2">
      <w:pPr>
        <w:snapToGrid w:val="0"/>
        <w:spacing w:line="360" w:lineRule="auto"/>
        <w:ind w:firstLineChars="200" w:firstLine="562"/>
        <w:jc w:val="left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t>三</w:t>
      </w:r>
      <w:r>
        <w:rPr>
          <w:rFonts w:eastAsia="宋体"/>
          <w:b/>
          <w:snapToGrid w:val="0"/>
          <w:sz w:val="28"/>
        </w:rPr>
        <w:t>、</w:t>
      </w:r>
      <w:r>
        <w:rPr>
          <w:rFonts w:eastAsia="宋体" w:hint="eastAsia"/>
          <w:b/>
          <w:snapToGrid w:val="0"/>
          <w:sz w:val="28"/>
        </w:rPr>
        <w:t>技术资料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1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卖方提供的资料使用中国法定计量单位。技术资料和图纸的文种为中文，进口设备提供的图纸和资料应翻译成中文随同原文一并提交，图纸资料以英文为准。所有资料应为原件。电子版图纸应为</w:t>
      </w:r>
      <w:r>
        <w:rPr>
          <w:rFonts w:eastAsia="宋体" w:cs="Arial"/>
          <w:sz w:val="24"/>
          <w:szCs w:val="24"/>
        </w:rPr>
        <w:t>AutoCAD2004</w:t>
      </w:r>
      <w:r>
        <w:rPr>
          <w:rFonts w:eastAsia="宋体" w:cs="Arial"/>
          <w:sz w:val="24"/>
          <w:szCs w:val="24"/>
        </w:rPr>
        <w:t>格式，文本文件应为</w:t>
      </w:r>
      <w:r>
        <w:rPr>
          <w:rFonts w:eastAsia="宋体" w:cs="Arial"/>
          <w:sz w:val="24"/>
          <w:szCs w:val="24"/>
        </w:rPr>
        <w:t>Word/Excel2003</w:t>
      </w:r>
      <w:r>
        <w:rPr>
          <w:rFonts w:eastAsia="宋体" w:cs="Arial"/>
          <w:sz w:val="24"/>
          <w:szCs w:val="24"/>
        </w:rPr>
        <w:t>格式。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2</w:t>
      </w:r>
      <w:r>
        <w:rPr>
          <w:rFonts w:eastAsia="宋体" w:cs="Arial" w:hint="eastAsia"/>
          <w:sz w:val="24"/>
          <w:szCs w:val="24"/>
        </w:rPr>
        <w:t>）随机资料：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随机资料包括但不限于：</w:t>
      </w:r>
      <w:r>
        <w:rPr>
          <w:rFonts w:eastAsia="宋体" w:cs="Arial" w:hint="eastAsia"/>
          <w:sz w:val="24"/>
          <w:szCs w:val="24"/>
        </w:rPr>
        <w:t xml:space="preserve"> </w:t>
      </w:r>
      <w:r>
        <w:rPr>
          <w:rFonts w:eastAsia="宋体" w:cs="Arial" w:hint="eastAsia"/>
          <w:sz w:val="24"/>
          <w:szCs w:val="24"/>
        </w:rPr>
        <w:t>合格证、检验报告等。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卖方</w:t>
      </w:r>
      <w:r>
        <w:rPr>
          <w:rFonts w:eastAsia="宋体" w:cs="Arial" w:hint="eastAsia"/>
          <w:sz w:val="24"/>
          <w:szCs w:val="24"/>
        </w:rPr>
        <w:t>随机技术资料为每台设备</w:t>
      </w:r>
      <w:r>
        <w:rPr>
          <w:rFonts w:eastAsia="宋体" w:cs="Arial" w:hint="eastAsia"/>
          <w:b/>
          <w:sz w:val="24"/>
          <w:szCs w:val="24"/>
        </w:rPr>
        <w:t>2</w:t>
      </w:r>
      <w:r>
        <w:rPr>
          <w:rFonts w:eastAsia="宋体" w:cs="Arial" w:hint="eastAsia"/>
          <w:b/>
          <w:sz w:val="24"/>
          <w:szCs w:val="24"/>
        </w:rPr>
        <w:t>套</w:t>
      </w:r>
      <w:r>
        <w:rPr>
          <w:rFonts w:eastAsia="宋体" w:cs="Arial" w:hint="eastAsia"/>
          <w:sz w:val="24"/>
          <w:szCs w:val="24"/>
        </w:rPr>
        <w:t>。随机</w:t>
      </w:r>
      <w:r>
        <w:rPr>
          <w:rFonts w:eastAsia="宋体" w:cs="Arial"/>
          <w:sz w:val="24"/>
          <w:szCs w:val="24"/>
        </w:rPr>
        <w:t>资料要求单独装箱</w:t>
      </w:r>
      <w:r>
        <w:rPr>
          <w:rFonts w:eastAsia="宋体" w:cs="Arial" w:hint="eastAsia"/>
          <w:sz w:val="24"/>
          <w:szCs w:val="24"/>
        </w:rPr>
        <w:t>，随设备一起发货。</w:t>
      </w: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t>四、其它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lastRenderedPageBreak/>
        <w:t>1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本协议作为合同</w:t>
      </w:r>
      <w:r>
        <w:rPr>
          <w:rFonts w:eastAsia="宋体" w:cs="Arial" w:hint="eastAsia"/>
          <w:sz w:val="24"/>
          <w:szCs w:val="24"/>
        </w:rPr>
        <w:t>附件</w:t>
      </w:r>
      <w:r>
        <w:rPr>
          <w:rFonts w:eastAsia="宋体" w:cs="Arial"/>
          <w:sz w:val="24"/>
          <w:szCs w:val="24"/>
        </w:rPr>
        <w:t>，与合同正文具有同等效力。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2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本协议一式二份，双方各执一份。</w:t>
      </w:r>
      <w:r>
        <w:rPr>
          <w:rFonts w:eastAsia="宋体" w:cs="Arial" w:hint="eastAsia"/>
          <w:sz w:val="24"/>
          <w:szCs w:val="24"/>
        </w:rPr>
        <w:t>本协议自</w:t>
      </w:r>
      <w:r>
        <w:rPr>
          <w:rFonts w:eastAsia="宋体" w:cs="Arial"/>
          <w:sz w:val="24"/>
          <w:szCs w:val="24"/>
        </w:rPr>
        <w:t>双方</w:t>
      </w:r>
      <w:r>
        <w:rPr>
          <w:rFonts w:eastAsia="宋体" w:cs="Arial" w:hint="eastAsia"/>
          <w:sz w:val="24"/>
          <w:szCs w:val="24"/>
        </w:rPr>
        <w:t>盖章</w:t>
      </w:r>
      <w:r>
        <w:rPr>
          <w:rFonts w:eastAsia="宋体" w:cs="Arial"/>
          <w:sz w:val="24"/>
          <w:szCs w:val="24"/>
        </w:rPr>
        <w:t>后生效。</w:t>
      </w:r>
    </w:p>
    <w:tbl>
      <w:tblPr>
        <w:tblW w:w="9919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30"/>
        <w:gridCol w:w="3646"/>
        <w:gridCol w:w="1389"/>
        <w:gridCol w:w="3454"/>
      </w:tblGrid>
      <w:tr w:rsidR="008601DF">
        <w:trPr>
          <w:trHeight w:val="454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买方：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卖方：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联系人：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联系人：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54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日期：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日期：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</w:tbl>
    <w:p w:rsidR="008601DF" w:rsidRDefault="008601DF">
      <w:pPr>
        <w:spacing w:line="360" w:lineRule="auto"/>
        <w:jc w:val="left"/>
        <w:outlineLvl w:val="0"/>
        <w:rPr>
          <w:rFonts w:eastAsia="宋体"/>
          <w:sz w:val="24"/>
          <w:szCs w:val="24"/>
        </w:rPr>
      </w:pPr>
    </w:p>
    <w:sectPr w:rsidR="008601DF"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81" w:rsidRDefault="00F83681">
      <w:r>
        <w:separator/>
      </w:r>
    </w:p>
  </w:endnote>
  <w:endnote w:type="continuationSeparator" w:id="0">
    <w:p w:rsidR="00F83681" w:rsidRDefault="00F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DF" w:rsidRDefault="001F78F2">
    <w:pPr>
      <w:pStyle w:val="ab"/>
      <w:snapToGrid w:val="0"/>
      <w:jc w:val="center"/>
      <w:rPr>
        <w:rFonts w:ascii="微软雅黑" w:eastAsia="微软雅黑" w:hAnsi="微软雅黑"/>
      </w:rPr>
    </w:pPr>
    <w:r>
      <w:fldChar w:fldCharType="begin"/>
    </w:r>
    <w:r>
      <w:instrText>PAGE  \* MERGEFORMAT</w:instrText>
    </w:r>
    <w:r>
      <w:fldChar w:fldCharType="separate"/>
    </w:r>
    <w:r w:rsidR="00A11E95" w:rsidRPr="00A11E95">
      <w:rPr>
        <w:rFonts w:ascii="微软雅黑" w:eastAsia="微软雅黑" w:hAnsi="微软雅黑"/>
        <w:noProof/>
      </w:rPr>
      <w:t>4</w:t>
    </w:r>
    <w:r>
      <w:rPr>
        <w:rFonts w:ascii="微软雅黑" w:eastAsia="微软雅黑" w:hAnsi="微软雅黑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81" w:rsidRDefault="00F83681">
      <w:r>
        <w:separator/>
      </w:r>
    </w:p>
  </w:footnote>
  <w:footnote w:type="continuationSeparator" w:id="0">
    <w:p w:rsidR="00F83681" w:rsidRDefault="00F8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DF" w:rsidRDefault="00D14D48" w:rsidP="00D14D48">
    <w:pPr>
      <w:spacing w:line="360" w:lineRule="auto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hint="eastAsia"/>
        <w:sz w:val="21"/>
        <w:szCs w:val="21"/>
      </w:rPr>
      <w:t xml:space="preserve">山东润扬环保设备有限公司 </w:t>
    </w:r>
    <w:r>
      <w:rPr>
        <w:rFonts w:ascii="微软雅黑" w:eastAsia="微软雅黑" w:hAnsi="微软雅黑"/>
        <w:sz w:val="21"/>
        <w:szCs w:val="21"/>
      </w:rPr>
      <w:t xml:space="preserve">                                              </w:t>
    </w:r>
    <w:r>
      <w:rPr>
        <w:rFonts w:ascii="微软雅黑" w:eastAsia="微软雅黑" w:hAnsi="微软雅黑" w:hint="eastAsia"/>
        <w:sz w:val="21"/>
        <w:szCs w:val="21"/>
      </w:rPr>
      <w:t>喷砂系统</w:t>
    </w:r>
    <w:r w:rsidR="001F78F2">
      <w:rPr>
        <w:rFonts w:ascii="微软雅黑" w:eastAsia="微软雅黑" w:hAnsi="微软雅黑" w:hint="eastAsia"/>
        <w:sz w:val="21"/>
        <w:szCs w:val="21"/>
      </w:rPr>
      <w:t>技术协议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AA"/>
    <w:rsid w:val="00007E14"/>
    <w:rsid w:val="00015B7E"/>
    <w:rsid w:val="00031430"/>
    <w:rsid w:val="000503A5"/>
    <w:rsid w:val="00066362"/>
    <w:rsid w:val="00073969"/>
    <w:rsid w:val="0007632C"/>
    <w:rsid w:val="000B5737"/>
    <w:rsid w:val="000B7273"/>
    <w:rsid w:val="000C03C7"/>
    <w:rsid w:val="00127B9C"/>
    <w:rsid w:val="0019009E"/>
    <w:rsid w:val="001A6151"/>
    <w:rsid w:val="001D556A"/>
    <w:rsid w:val="001F27C2"/>
    <w:rsid w:val="001F78F2"/>
    <w:rsid w:val="00231D62"/>
    <w:rsid w:val="00232A19"/>
    <w:rsid w:val="0025577E"/>
    <w:rsid w:val="002D672A"/>
    <w:rsid w:val="00324C67"/>
    <w:rsid w:val="003414EA"/>
    <w:rsid w:val="00362F40"/>
    <w:rsid w:val="00374F5A"/>
    <w:rsid w:val="00375CCC"/>
    <w:rsid w:val="00376989"/>
    <w:rsid w:val="00395723"/>
    <w:rsid w:val="0045541C"/>
    <w:rsid w:val="004B4969"/>
    <w:rsid w:val="004D352A"/>
    <w:rsid w:val="004D67EB"/>
    <w:rsid w:val="004E5E45"/>
    <w:rsid w:val="00507BAA"/>
    <w:rsid w:val="00510CE7"/>
    <w:rsid w:val="0053724C"/>
    <w:rsid w:val="0055698E"/>
    <w:rsid w:val="00573CE0"/>
    <w:rsid w:val="005859CC"/>
    <w:rsid w:val="005922E7"/>
    <w:rsid w:val="00592A87"/>
    <w:rsid w:val="005B7582"/>
    <w:rsid w:val="00600C62"/>
    <w:rsid w:val="006409E8"/>
    <w:rsid w:val="006479A2"/>
    <w:rsid w:val="006518D1"/>
    <w:rsid w:val="00666830"/>
    <w:rsid w:val="006A247C"/>
    <w:rsid w:val="006B7980"/>
    <w:rsid w:val="007115AC"/>
    <w:rsid w:val="00720C48"/>
    <w:rsid w:val="0072611A"/>
    <w:rsid w:val="00726FDA"/>
    <w:rsid w:val="00730738"/>
    <w:rsid w:val="007416F2"/>
    <w:rsid w:val="0074466C"/>
    <w:rsid w:val="007575F0"/>
    <w:rsid w:val="00767705"/>
    <w:rsid w:val="007965CE"/>
    <w:rsid w:val="007A6BBB"/>
    <w:rsid w:val="007C58AB"/>
    <w:rsid w:val="007D45C1"/>
    <w:rsid w:val="00804211"/>
    <w:rsid w:val="00816934"/>
    <w:rsid w:val="008378E5"/>
    <w:rsid w:val="008601DF"/>
    <w:rsid w:val="00861CD0"/>
    <w:rsid w:val="008835A5"/>
    <w:rsid w:val="008B3D31"/>
    <w:rsid w:val="008C1BAF"/>
    <w:rsid w:val="008D7A6C"/>
    <w:rsid w:val="00900044"/>
    <w:rsid w:val="0090547F"/>
    <w:rsid w:val="00933388"/>
    <w:rsid w:val="009704AC"/>
    <w:rsid w:val="0098110E"/>
    <w:rsid w:val="00983483"/>
    <w:rsid w:val="009E006F"/>
    <w:rsid w:val="00A11E95"/>
    <w:rsid w:val="00A607A6"/>
    <w:rsid w:val="00A6612A"/>
    <w:rsid w:val="00A87DE1"/>
    <w:rsid w:val="00AA5EC7"/>
    <w:rsid w:val="00AC4174"/>
    <w:rsid w:val="00AC4AC6"/>
    <w:rsid w:val="00AC62DF"/>
    <w:rsid w:val="00AE3F13"/>
    <w:rsid w:val="00AF746B"/>
    <w:rsid w:val="00B15E13"/>
    <w:rsid w:val="00B238B1"/>
    <w:rsid w:val="00B5042D"/>
    <w:rsid w:val="00B5217F"/>
    <w:rsid w:val="00B938F4"/>
    <w:rsid w:val="00BC22E9"/>
    <w:rsid w:val="00BC58FA"/>
    <w:rsid w:val="00BF086E"/>
    <w:rsid w:val="00C06D87"/>
    <w:rsid w:val="00C151C5"/>
    <w:rsid w:val="00C20D3E"/>
    <w:rsid w:val="00C23EF5"/>
    <w:rsid w:val="00C306A7"/>
    <w:rsid w:val="00C6248E"/>
    <w:rsid w:val="00C860CA"/>
    <w:rsid w:val="00C96246"/>
    <w:rsid w:val="00CA2FD3"/>
    <w:rsid w:val="00CB1108"/>
    <w:rsid w:val="00CD045D"/>
    <w:rsid w:val="00CF17B2"/>
    <w:rsid w:val="00CF7B8D"/>
    <w:rsid w:val="00D14D48"/>
    <w:rsid w:val="00D8401C"/>
    <w:rsid w:val="00DA7A1F"/>
    <w:rsid w:val="00DE1573"/>
    <w:rsid w:val="00DE4B3B"/>
    <w:rsid w:val="00DE7454"/>
    <w:rsid w:val="00E53EFA"/>
    <w:rsid w:val="00E623FE"/>
    <w:rsid w:val="00E77964"/>
    <w:rsid w:val="00E90F67"/>
    <w:rsid w:val="00E92460"/>
    <w:rsid w:val="00E96080"/>
    <w:rsid w:val="00EB6C98"/>
    <w:rsid w:val="00F04ECD"/>
    <w:rsid w:val="00F128D5"/>
    <w:rsid w:val="00F15EA4"/>
    <w:rsid w:val="00F34CCE"/>
    <w:rsid w:val="00F419A6"/>
    <w:rsid w:val="00F76B6F"/>
    <w:rsid w:val="00F83681"/>
    <w:rsid w:val="00FA71A9"/>
    <w:rsid w:val="00FB5E4E"/>
    <w:rsid w:val="00FD060F"/>
    <w:rsid w:val="00FE5D52"/>
    <w:rsid w:val="05856460"/>
    <w:rsid w:val="068B392C"/>
    <w:rsid w:val="0A5C2171"/>
    <w:rsid w:val="113453BB"/>
    <w:rsid w:val="134244EA"/>
    <w:rsid w:val="18242213"/>
    <w:rsid w:val="19F85800"/>
    <w:rsid w:val="1C84722B"/>
    <w:rsid w:val="251776D4"/>
    <w:rsid w:val="28004921"/>
    <w:rsid w:val="292F6D79"/>
    <w:rsid w:val="2A5A2751"/>
    <w:rsid w:val="2A931B5E"/>
    <w:rsid w:val="2BF26CD5"/>
    <w:rsid w:val="2C6F3EA8"/>
    <w:rsid w:val="2C8447E9"/>
    <w:rsid w:val="2D21615C"/>
    <w:rsid w:val="2F9118D0"/>
    <w:rsid w:val="30102700"/>
    <w:rsid w:val="303560A3"/>
    <w:rsid w:val="327714F8"/>
    <w:rsid w:val="32A05FF7"/>
    <w:rsid w:val="3349040F"/>
    <w:rsid w:val="3B3507C9"/>
    <w:rsid w:val="3C4F4FE8"/>
    <w:rsid w:val="3D300A46"/>
    <w:rsid w:val="3F833CF6"/>
    <w:rsid w:val="441902EA"/>
    <w:rsid w:val="46BF52EC"/>
    <w:rsid w:val="477D08ED"/>
    <w:rsid w:val="47F45263"/>
    <w:rsid w:val="4824626E"/>
    <w:rsid w:val="51B912AF"/>
    <w:rsid w:val="55006655"/>
    <w:rsid w:val="57D66347"/>
    <w:rsid w:val="5AD074AD"/>
    <w:rsid w:val="5C31386E"/>
    <w:rsid w:val="5D3A102E"/>
    <w:rsid w:val="67A419DE"/>
    <w:rsid w:val="71A40DD2"/>
    <w:rsid w:val="72FE5071"/>
    <w:rsid w:val="7952640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89406"/>
  <w15:docId w15:val="{442254FA-83DB-4985-A9E4-5EC98E91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uiPriority="0" w:qFormat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Normal Indent"/>
    <w:basedOn w:val="a"/>
    <w:qFormat/>
    <w:pPr>
      <w:spacing w:line="360" w:lineRule="auto"/>
      <w:ind w:left="851" w:firstLine="420"/>
    </w:pPr>
    <w:rPr>
      <w:sz w:val="24"/>
    </w:rPr>
  </w:style>
  <w:style w:type="paragraph" w:styleId="a4">
    <w:name w:val="Document Map"/>
    <w:basedOn w:val="a"/>
    <w:link w:val="a5"/>
    <w:semiHidden/>
    <w:unhideWhenUsed/>
    <w:qFormat/>
    <w:rPr>
      <w:rFonts w:ascii="宋体" w:eastAsia="宋体" w:hAnsi="宋体"/>
      <w:sz w:val="18"/>
      <w:szCs w:val="18"/>
    </w:r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Body Text"/>
    <w:basedOn w:val="a"/>
    <w:link w:val="10"/>
    <w:qFormat/>
    <w:pPr>
      <w:spacing w:after="120"/>
      <w:jc w:val="left"/>
    </w:pPr>
    <w:rPr>
      <w:rFonts w:ascii="Calibri" w:eastAsia="宋体" w:hAnsi="Calibri"/>
      <w:kern w:val="2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9">
    <w:name w:val="Balloon Text"/>
    <w:basedOn w:val="a"/>
    <w:link w:val="aa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next w:val="a"/>
    <w:uiPriority w:val="28"/>
    <w:unhideWhenUsed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f">
    <w:name w:val="Subtitle"/>
    <w:uiPriority w:val="16"/>
    <w:qFormat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f0">
    <w:name w:val="Title"/>
    <w:uiPriority w:val="6"/>
    <w:qFormat/>
    <w:pPr>
      <w:jc w:val="center"/>
    </w:pPr>
    <w:rPr>
      <w:rFonts w:ascii="Calibri" w:eastAsia="宋体" w:hAnsi="Calibri" w:cs="Times New Roman"/>
      <w:b/>
      <w:sz w:val="32"/>
      <w:szCs w:val="32"/>
    </w:rPr>
  </w:style>
  <w:style w:type="paragraph" w:styleId="af1">
    <w:name w:val="annotation subject"/>
    <w:basedOn w:val="a6"/>
    <w:next w:val="a6"/>
    <w:link w:val="af2"/>
    <w:semiHidden/>
    <w:unhideWhenUsed/>
    <w:qFormat/>
    <w:rPr>
      <w:b/>
    </w:rPr>
  </w:style>
  <w:style w:type="character" w:styleId="af3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f4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f5">
    <w:name w:val="annotation reference"/>
    <w:basedOn w:val="a0"/>
    <w:semiHidden/>
    <w:unhideWhenUsed/>
    <w:qFormat/>
    <w:rPr>
      <w:w w:val="100"/>
      <w:sz w:val="21"/>
      <w:szCs w:val="21"/>
      <w:shd w:val="clear" w:color="auto" w:fill="auto"/>
    </w:rPr>
  </w:style>
  <w:style w:type="paragraph" w:styleId="af6">
    <w:name w:val="No Spacing"/>
    <w:uiPriority w:val="5"/>
    <w:qFormat/>
    <w:pPr>
      <w:jc w:val="both"/>
    </w:pPr>
    <w:rPr>
      <w:rFonts w:ascii="Calibri" w:eastAsia="宋体" w:hAnsi="Calibri" w:cs="Times New Roman"/>
      <w:sz w:val="21"/>
      <w:szCs w:val="21"/>
    </w:rPr>
  </w:style>
  <w:style w:type="character" w:customStyle="1" w:styleId="12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3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7">
    <w:name w:val="Quote"/>
    <w:uiPriority w:val="21"/>
    <w:qFormat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f8">
    <w:name w:val="Intense Quote"/>
    <w:uiPriority w:val="22"/>
    <w:qFormat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character" w:customStyle="1" w:styleId="14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5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6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9">
    <w:name w:val="List Paragraph"/>
    <w:basedOn w:val="a"/>
    <w:uiPriority w:val="34"/>
    <w:qFormat/>
    <w:pPr>
      <w:ind w:left="850"/>
    </w:pPr>
    <w:rPr>
      <w:rFonts w:ascii="Calibri" w:eastAsia="宋体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ae">
    <w:name w:val="页眉 字符"/>
    <w:basedOn w:val="a0"/>
    <w:link w:val="ad"/>
    <w:qFormat/>
    <w:rPr>
      <w:w w:val="100"/>
      <w:sz w:val="18"/>
      <w:szCs w:val="18"/>
      <w:shd w:val="clear" w:color="auto" w:fill="auto"/>
    </w:rPr>
  </w:style>
  <w:style w:type="character" w:customStyle="1" w:styleId="ac">
    <w:name w:val="页脚 字符"/>
    <w:basedOn w:val="a0"/>
    <w:link w:val="ab"/>
    <w:semiHidden/>
    <w:qFormat/>
    <w:rPr>
      <w:w w:val="100"/>
      <w:sz w:val="18"/>
      <w:szCs w:val="18"/>
      <w:shd w:val="clear" w:color="auto" w:fill="auto"/>
    </w:rPr>
  </w:style>
  <w:style w:type="character" w:customStyle="1" w:styleId="a7">
    <w:name w:val="批注文字 字符"/>
    <w:basedOn w:val="a0"/>
    <w:link w:val="a6"/>
    <w:semiHidden/>
    <w:qFormat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af2">
    <w:name w:val="批注主题 字符"/>
    <w:basedOn w:val="a7"/>
    <w:link w:val="af1"/>
    <w:semiHidden/>
    <w:qFormat/>
    <w:rPr>
      <w:rFonts w:ascii="Times New Roman" w:eastAsia="Times New Roman" w:hAnsi="Times New Roman"/>
      <w:b/>
      <w:w w:val="100"/>
      <w:sz w:val="20"/>
      <w:szCs w:val="20"/>
      <w:shd w:val="clear" w:color="auto" w:fill="auto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a5">
    <w:name w:val="文档结构图 字符"/>
    <w:basedOn w:val="a0"/>
    <w:link w:val="a4"/>
    <w:semiHidden/>
    <w:qFormat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10">
    <w:name w:val="正文文本 字符1"/>
    <w:link w:val="a8"/>
    <w:qFormat/>
    <w:rPr>
      <w:kern w:val="2"/>
    </w:rPr>
  </w:style>
  <w:style w:type="character" w:customStyle="1" w:styleId="afa">
    <w:name w:val="正文文本 字符"/>
    <w:basedOn w:val="a0"/>
    <w:uiPriority w:val="99"/>
    <w:semiHidden/>
    <w:qFormat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D1F29-F935-4705-AC1D-3E523705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rya2018</cp:lastModifiedBy>
  <cp:revision>5</cp:revision>
  <cp:lastPrinted>2019-02-28T03:48:00Z</cp:lastPrinted>
  <dcterms:created xsi:type="dcterms:W3CDTF">2019-10-17T03:45:00Z</dcterms:created>
  <dcterms:modified xsi:type="dcterms:W3CDTF">2019-10-18T01:30:00Z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