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9145" w:type="dxa"/>
        <w:tblInd w:w="0" w:type="dxa"/>
        <w:tblLayout w:type="fixed"/>
        <w:tblCellMar>
          <w:top w:w="0" w:type="dxa"/>
          <w:left w:w="108" w:type="dxa"/>
          <w:bottom w:w="0" w:type="dxa"/>
          <w:right w:w="108" w:type="dxa"/>
        </w:tblCellMar>
      </w:tblPr>
      <w:tblGrid>
        <w:gridCol w:w="1116"/>
        <w:gridCol w:w="2076"/>
        <w:gridCol w:w="4820"/>
        <w:gridCol w:w="1133"/>
      </w:tblGrid>
      <w:tr>
        <w:tblPrEx>
          <w:tblLayout w:type="fixed"/>
          <w:tblCellMar>
            <w:top w:w="0" w:type="dxa"/>
            <w:left w:w="108" w:type="dxa"/>
            <w:bottom w:w="0" w:type="dxa"/>
            <w:right w:w="108" w:type="dxa"/>
          </w:tblCellMar>
        </w:tblPrEx>
        <w:trPr>
          <w:trHeight w:val="348" w:hRule="atLeast"/>
        </w:trPr>
        <w:tc>
          <w:tcPr>
            <w:tcW w:w="1116"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b/>
                <w:szCs w:val="21"/>
              </w:rPr>
            </w:pPr>
            <w:r>
              <w:rPr>
                <w:rFonts w:hint="eastAsia" w:ascii="宋体" w:hAnsi="宋体" w:cs="宋体"/>
                <w:b/>
                <w:szCs w:val="21"/>
              </w:rPr>
              <w:t>序号</w:t>
            </w:r>
          </w:p>
        </w:tc>
        <w:tc>
          <w:tcPr>
            <w:tcW w:w="2076" w:type="dxa"/>
            <w:tcBorders>
              <w:top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b/>
                <w:szCs w:val="21"/>
              </w:rPr>
            </w:pPr>
            <w:r>
              <w:rPr>
                <w:rFonts w:hint="eastAsia" w:ascii="宋体" w:hAnsi="宋体" w:cs="宋体"/>
                <w:b/>
                <w:szCs w:val="21"/>
              </w:rPr>
              <w:t>货物</w:t>
            </w:r>
          </w:p>
        </w:tc>
        <w:tc>
          <w:tcPr>
            <w:tcW w:w="4820" w:type="dxa"/>
            <w:tcBorders>
              <w:top w:val="single" w:color="000000" w:sz="4" w:space="0"/>
              <w:bottom w:val="single" w:color="000000" w:sz="4" w:space="0"/>
              <w:right w:val="single" w:color="000000" w:sz="4" w:space="0"/>
            </w:tcBorders>
            <w:vAlign w:val="top"/>
          </w:tcPr>
          <w:p>
            <w:pPr>
              <w:widowControl/>
              <w:spacing w:line="500" w:lineRule="exact"/>
              <w:jc w:val="center"/>
              <w:rPr>
                <w:rFonts w:ascii="宋体" w:hAnsi="宋体" w:cs="宋体"/>
                <w:b/>
                <w:szCs w:val="21"/>
              </w:rPr>
            </w:pPr>
            <w:r>
              <w:rPr>
                <w:rFonts w:ascii="宋体" w:hAnsi="宋体" w:cs="宋体"/>
                <w:b/>
                <w:szCs w:val="21"/>
              </w:rPr>
              <w:t>技术参数和要求</w:t>
            </w:r>
          </w:p>
        </w:tc>
        <w:tc>
          <w:tcPr>
            <w:tcW w:w="1133"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b/>
                <w:szCs w:val="21"/>
              </w:rPr>
            </w:pPr>
            <w:r>
              <w:rPr>
                <w:rFonts w:hint="eastAsia" w:ascii="宋体" w:hAnsi="宋体" w:cs="宋体"/>
                <w:b/>
                <w:szCs w:val="21"/>
              </w:rPr>
              <w:t>数量</w:t>
            </w:r>
          </w:p>
        </w:tc>
      </w:tr>
      <w:tr>
        <w:tblPrEx>
          <w:tblLayout w:type="fixed"/>
          <w:tblCellMar>
            <w:top w:w="0" w:type="dxa"/>
            <w:left w:w="108" w:type="dxa"/>
            <w:bottom w:w="0" w:type="dxa"/>
            <w:right w:w="108" w:type="dxa"/>
          </w:tblCellMar>
        </w:tblPrEx>
        <w:trPr>
          <w:trHeight w:val="1935" w:hRule="atLeast"/>
        </w:trPr>
        <w:tc>
          <w:tcPr>
            <w:tcW w:w="1116"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szCs w:val="21"/>
              </w:rPr>
            </w:pPr>
            <w:r>
              <w:rPr>
                <w:rFonts w:ascii="宋体" w:hAnsi="宋体" w:cs="宋体"/>
                <w:szCs w:val="21"/>
              </w:rPr>
              <w:t>1</w:t>
            </w:r>
          </w:p>
        </w:tc>
        <w:tc>
          <w:tcPr>
            <w:tcW w:w="2076" w:type="dxa"/>
            <w:tcBorders>
              <w:top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color w:val="333333"/>
                <w:szCs w:val="21"/>
              </w:rPr>
            </w:pPr>
            <w:r>
              <w:rPr>
                <w:rFonts w:ascii="宋体" w:hAnsi="宋体" w:cs="宋体"/>
                <w:color w:val="333333"/>
                <w:szCs w:val="21"/>
              </w:rPr>
              <w:t>50%吡蚜酮.异丙威</w:t>
            </w:r>
          </w:p>
        </w:tc>
        <w:tc>
          <w:tcPr>
            <w:tcW w:w="4820" w:type="dxa"/>
            <w:tcBorders>
              <w:top w:val="single" w:color="000000" w:sz="4" w:space="0"/>
              <w:bottom w:val="single" w:color="000000" w:sz="4" w:space="0"/>
              <w:right w:val="single" w:color="000000" w:sz="4" w:space="0"/>
            </w:tcBorders>
            <w:vAlign w:val="top"/>
          </w:tcPr>
          <w:p>
            <w:pPr>
              <w:widowControl/>
              <w:spacing w:line="500" w:lineRule="exact"/>
              <w:rPr>
                <w:rFonts w:hint="eastAsia" w:ascii="宋体" w:hAnsi="宋体" w:cs="宋体"/>
                <w:b/>
                <w:szCs w:val="21"/>
              </w:rPr>
            </w:pPr>
            <w:r>
              <w:rPr>
                <w:rFonts w:hint="eastAsia" w:ascii="宋体" w:hAnsi="宋体" w:cs="宋体"/>
                <w:color w:val="333333"/>
                <w:szCs w:val="21"/>
              </w:rPr>
              <w:t>总有效成分含量50%，其中吡蚜酮</w:t>
            </w:r>
            <w:r>
              <w:rPr>
                <w:rFonts w:ascii="宋体" w:hAnsi="宋体" w:cs="宋体"/>
                <w:color w:val="333333"/>
                <w:szCs w:val="21"/>
              </w:rPr>
              <w:t>含量：</w:t>
            </w:r>
            <w:r>
              <w:rPr>
                <w:rFonts w:hint="eastAsia" w:ascii="宋体" w:hAnsi="宋体" w:cs="宋体"/>
                <w:color w:val="333333"/>
                <w:szCs w:val="21"/>
              </w:rPr>
              <w:t>10</w:t>
            </w:r>
            <w:r>
              <w:rPr>
                <w:rFonts w:ascii="宋体" w:hAnsi="宋体" w:cs="宋体"/>
                <w:color w:val="333333"/>
                <w:szCs w:val="21"/>
              </w:rPr>
              <w:t>%、</w:t>
            </w:r>
            <w:r>
              <w:rPr>
                <w:rFonts w:hint="eastAsia" w:ascii="宋体" w:hAnsi="宋体" w:cs="宋体"/>
                <w:color w:val="333333"/>
                <w:szCs w:val="21"/>
              </w:rPr>
              <w:t>异丙威</w:t>
            </w:r>
            <w:r>
              <w:rPr>
                <w:rFonts w:ascii="宋体" w:hAnsi="宋体" w:cs="宋体"/>
                <w:color w:val="333333"/>
                <w:szCs w:val="21"/>
              </w:rPr>
              <w:t>含量：</w:t>
            </w:r>
            <w:r>
              <w:rPr>
                <w:rFonts w:hint="eastAsia" w:ascii="宋体" w:hAnsi="宋体" w:cs="宋体"/>
                <w:color w:val="333333"/>
                <w:szCs w:val="21"/>
              </w:rPr>
              <w:t>40</w:t>
            </w:r>
            <w:r>
              <w:rPr>
                <w:rFonts w:ascii="宋体" w:hAnsi="宋体" w:cs="宋体"/>
                <w:color w:val="333333"/>
                <w:szCs w:val="21"/>
              </w:rPr>
              <w:t>%</w:t>
            </w:r>
            <w:r>
              <w:rPr>
                <w:rFonts w:hint="eastAsia" w:ascii="宋体" w:hAnsi="宋体" w:cs="宋体"/>
                <w:color w:val="333333"/>
                <w:szCs w:val="21"/>
              </w:rPr>
              <w:t xml:space="preserve">；  </w:t>
            </w:r>
            <w:r>
              <w:rPr>
                <w:rFonts w:ascii="宋体" w:hAnsi="宋体" w:cs="宋体"/>
                <w:color w:val="333333"/>
                <w:szCs w:val="21"/>
              </w:rPr>
              <w:t>剂型：</w:t>
            </w:r>
            <w:r>
              <w:rPr>
                <w:rFonts w:hint="eastAsia" w:ascii="宋体" w:hAnsi="宋体" w:cs="宋体"/>
                <w:color w:val="333333"/>
                <w:szCs w:val="21"/>
              </w:rPr>
              <w:t>可湿性粉</w:t>
            </w:r>
            <w:r>
              <w:rPr>
                <w:rFonts w:ascii="宋体" w:hAnsi="宋体" w:cs="宋体"/>
                <w:color w:val="333333"/>
                <w:szCs w:val="21"/>
              </w:rPr>
              <w:t>剂</w:t>
            </w:r>
            <w:r>
              <w:rPr>
                <w:rFonts w:hint="eastAsia" w:ascii="宋体" w:hAnsi="宋体" w:cs="宋体"/>
                <w:color w:val="333333"/>
                <w:szCs w:val="21"/>
              </w:rPr>
              <w:t>；</w:t>
            </w:r>
            <w:r>
              <w:rPr>
                <w:rFonts w:ascii="宋体" w:hAnsi="宋体" w:cs="宋体"/>
                <w:color w:val="333333"/>
                <w:szCs w:val="21"/>
              </w:rPr>
              <w:t>毒性：低毒</w:t>
            </w:r>
            <w:r>
              <w:rPr>
                <w:rFonts w:hint="eastAsia" w:ascii="宋体" w:hAnsi="宋体" w:cs="宋体"/>
                <w:color w:val="333333"/>
                <w:szCs w:val="21"/>
              </w:rPr>
              <w:t>；</w:t>
            </w:r>
            <w:r>
              <w:rPr>
                <w:rFonts w:ascii="宋体" w:hAnsi="宋体" w:cs="宋体"/>
                <w:color w:val="333333"/>
                <w:szCs w:val="21"/>
              </w:rPr>
              <w:t>规格：</w:t>
            </w:r>
            <w:r>
              <w:rPr>
                <w:rFonts w:hint="eastAsia" w:ascii="宋体" w:hAnsi="宋体" w:cs="宋体"/>
                <w:color w:val="333333"/>
                <w:szCs w:val="21"/>
              </w:rPr>
              <w:t>10</w:t>
            </w:r>
            <w:r>
              <w:rPr>
                <w:rFonts w:ascii="宋体" w:hAnsi="宋体" w:cs="宋体"/>
                <w:color w:val="333333"/>
                <w:szCs w:val="21"/>
              </w:rPr>
              <w:t>克/</w:t>
            </w:r>
            <w:r>
              <w:rPr>
                <w:rFonts w:hint="eastAsia" w:ascii="宋体" w:hAnsi="宋体" w:cs="宋体"/>
                <w:color w:val="333333"/>
                <w:szCs w:val="21"/>
              </w:rPr>
              <w:t>包；保质期12个月；农药“三证”齐全</w:t>
            </w:r>
          </w:p>
        </w:tc>
        <w:tc>
          <w:tcPr>
            <w:tcW w:w="1133"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szCs w:val="21"/>
              </w:rPr>
            </w:pPr>
            <w:r>
              <w:rPr>
                <w:rFonts w:hint="eastAsia" w:ascii="宋体" w:hAnsi="宋体" w:cs="宋体"/>
                <w:szCs w:val="21"/>
              </w:rPr>
              <w:t>25000包</w:t>
            </w:r>
          </w:p>
        </w:tc>
      </w:tr>
      <w:tr>
        <w:tblPrEx>
          <w:tblLayout w:type="fixed"/>
          <w:tblCellMar>
            <w:top w:w="0" w:type="dxa"/>
            <w:left w:w="108" w:type="dxa"/>
            <w:bottom w:w="0" w:type="dxa"/>
            <w:right w:w="108" w:type="dxa"/>
          </w:tblCellMar>
        </w:tblPrEx>
        <w:trPr>
          <w:trHeight w:val="1600" w:hRule="atLeast"/>
        </w:trPr>
        <w:tc>
          <w:tcPr>
            <w:tcW w:w="1116"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szCs w:val="21"/>
              </w:rPr>
            </w:pPr>
            <w:r>
              <w:rPr>
                <w:rFonts w:ascii="宋体" w:hAnsi="宋体" w:cs="宋体"/>
                <w:szCs w:val="21"/>
              </w:rPr>
              <w:t>2</w:t>
            </w:r>
          </w:p>
        </w:tc>
        <w:tc>
          <w:tcPr>
            <w:tcW w:w="2076" w:type="dxa"/>
            <w:tcBorders>
              <w:top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szCs w:val="21"/>
              </w:rPr>
            </w:pPr>
            <w:r>
              <w:rPr>
                <w:rFonts w:ascii="宋体" w:hAnsi="宋体" w:cs="宋体"/>
                <w:szCs w:val="21"/>
              </w:rPr>
              <w:t>25%嘧菌酯</w:t>
            </w:r>
          </w:p>
        </w:tc>
        <w:tc>
          <w:tcPr>
            <w:tcW w:w="4820" w:type="dxa"/>
            <w:tcBorders>
              <w:top w:val="single" w:color="000000" w:sz="4" w:space="0"/>
              <w:bottom w:val="single" w:color="000000" w:sz="4" w:space="0"/>
              <w:right w:val="single" w:color="000000" w:sz="4" w:space="0"/>
            </w:tcBorders>
            <w:vAlign w:val="top"/>
          </w:tcPr>
          <w:p>
            <w:pPr>
              <w:widowControl/>
              <w:spacing w:line="500" w:lineRule="exact"/>
              <w:rPr>
                <w:rFonts w:ascii="宋体" w:hAnsi="宋体" w:cs="宋体"/>
                <w:b/>
                <w:color w:val="333333"/>
                <w:szCs w:val="21"/>
              </w:rPr>
            </w:pPr>
            <w:r>
              <w:rPr>
                <w:rFonts w:hint="eastAsia" w:ascii="宋体" w:hAnsi="宋体" w:cs="宋体"/>
                <w:color w:val="333333"/>
                <w:szCs w:val="21"/>
              </w:rPr>
              <w:t xml:space="preserve">总有效成分含量25%；  </w:t>
            </w:r>
            <w:r>
              <w:rPr>
                <w:rFonts w:ascii="宋体" w:hAnsi="宋体" w:cs="宋体"/>
                <w:color w:val="333333"/>
                <w:szCs w:val="21"/>
              </w:rPr>
              <w:t>剂型：</w:t>
            </w:r>
            <w:r>
              <w:rPr>
                <w:rFonts w:hint="eastAsia" w:ascii="宋体" w:hAnsi="宋体" w:cs="宋体"/>
                <w:color w:val="333333"/>
                <w:szCs w:val="21"/>
              </w:rPr>
              <w:t>悬浮</w:t>
            </w:r>
            <w:r>
              <w:rPr>
                <w:rFonts w:ascii="宋体" w:hAnsi="宋体" w:cs="宋体"/>
                <w:color w:val="333333"/>
                <w:szCs w:val="21"/>
              </w:rPr>
              <w:t>剂</w:t>
            </w:r>
            <w:r>
              <w:rPr>
                <w:rFonts w:hint="eastAsia" w:ascii="宋体" w:hAnsi="宋体" w:cs="宋体"/>
                <w:color w:val="333333"/>
                <w:szCs w:val="21"/>
              </w:rPr>
              <w:t>；</w:t>
            </w:r>
            <w:r>
              <w:rPr>
                <w:rFonts w:ascii="宋体" w:hAnsi="宋体" w:cs="宋体"/>
                <w:color w:val="333333"/>
                <w:szCs w:val="21"/>
              </w:rPr>
              <w:t>毒性：低毒</w:t>
            </w:r>
            <w:r>
              <w:rPr>
                <w:rFonts w:hint="eastAsia" w:ascii="宋体" w:hAnsi="宋体" w:cs="宋体"/>
                <w:color w:val="333333"/>
                <w:szCs w:val="21"/>
              </w:rPr>
              <w:t>；</w:t>
            </w:r>
            <w:r>
              <w:rPr>
                <w:rFonts w:ascii="宋体" w:hAnsi="宋体" w:cs="宋体"/>
                <w:color w:val="333333"/>
                <w:szCs w:val="21"/>
              </w:rPr>
              <w:t>规格：</w:t>
            </w:r>
            <w:r>
              <w:rPr>
                <w:rFonts w:hint="eastAsia" w:ascii="宋体" w:hAnsi="宋体" w:cs="宋体"/>
                <w:color w:val="333333"/>
                <w:szCs w:val="21"/>
              </w:rPr>
              <w:t>10</w:t>
            </w:r>
            <w:r>
              <w:rPr>
                <w:rFonts w:ascii="宋体" w:hAnsi="宋体" w:cs="宋体"/>
                <w:color w:val="333333"/>
                <w:szCs w:val="21"/>
              </w:rPr>
              <w:t>克/</w:t>
            </w:r>
            <w:r>
              <w:rPr>
                <w:rFonts w:hint="eastAsia" w:ascii="宋体" w:hAnsi="宋体" w:cs="宋体"/>
                <w:color w:val="333333"/>
                <w:szCs w:val="21"/>
              </w:rPr>
              <w:t>包；保质期12个月；农药“三证”齐全</w:t>
            </w:r>
          </w:p>
        </w:tc>
        <w:tc>
          <w:tcPr>
            <w:tcW w:w="1133"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szCs w:val="21"/>
              </w:rPr>
            </w:pPr>
            <w:r>
              <w:rPr>
                <w:rFonts w:ascii="宋体" w:hAnsi="宋体" w:cs="宋体"/>
                <w:szCs w:val="21"/>
              </w:rPr>
              <w:t>24960包</w:t>
            </w:r>
          </w:p>
        </w:tc>
      </w:tr>
      <w:tr>
        <w:tblPrEx>
          <w:tblLayout w:type="fixed"/>
          <w:tblCellMar>
            <w:top w:w="0" w:type="dxa"/>
            <w:left w:w="108" w:type="dxa"/>
            <w:bottom w:w="0" w:type="dxa"/>
            <w:right w:w="108" w:type="dxa"/>
          </w:tblCellMar>
        </w:tblPrEx>
        <w:trPr>
          <w:trHeight w:val="1645" w:hRule="atLeast"/>
        </w:trPr>
        <w:tc>
          <w:tcPr>
            <w:tcW w:w="1116"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szCs w:val="21"/>
              </w:rPr>
            </w:pPr>
            <w:r>
              <w:rPr>
                <w:rFonts w:ascii="宋体" w:hAnsi="宋体" w:cs="宋体"/>
                <w:szCs w:val="21"/>
              </w:rPr>
              <w:t>2</w:t>
            </w:r>
          </w:p>
        </w:tc>
        <w:tc>
          <w:tcPr>
            <w:tcW w:w="2076" w:type="dxa"/>
            <w:tcBorders>
              <w:top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color w:val="333333"/>
                <w:szCs w:val="21"/>
              </w:rPr>
            </w:pPr>
            <w:r>
              <w:rPr>
                <w:rFonts w:ascii="宋体" w:hAnsi="宋体" w:cs="宋体"/>
                <w:color w:val="333333"/>
                <w:szCs w:val="21"/>
              </w:rPr>
              <w:t>2.5%联苯菊酯</w:t>
            </w:r>
          </w:p>
        </w:tc>
        <w:tc>
          <w:tcPr>
            <w:tcW w:w="4820" w:type="dxa"/>
            <w:tcBorders>
              <w:top w:val="single" w:color="000000" w:sz="4" w:space="0"/>
              <w:bottom w:val="single" w:color="000000" w:sz="4" w:space="0"/>
              <w:right w:val="single" w:color="000000" w:sz="4" w:space="0"/>
            </w:tcBorders>
            <w:vAlign w:val="top"/>
          </w:tcPr>
          <w:p>
            <w:pPr>
              <w:widowControl/>
              <w:spacing w:line="500" w:lineRule="exact"/>
              <w:rPr>
                <w:rFonts w:ascii="宋体" w:hAnsi="宋体" w:cs="宋体"/>
                <w:b/>
                <w:color w:val="333333"/>
                <w:szCs w:val="21"/>
              </w:rPr>
            </w:pPr>
            <w:r>
              <w:rPr>
                <w:rFonts w:hint="eastAsia" w:ascii="宋体" w:hAnsi="宋体" w:cs="宋体"/>
                <w:color w:val="333333"/>
                <w:szCs w:val="21"/>
              </w:rPr>
              <w:t xml:space="preserve">总有效成分含量2.5%；  </w:t>
            </w:r>
            <w:r>
              <w:rPr>
                <w:rFonts w:ascii="宋体" w:hAnsi="宋体" w:cs="宋体"/>
                <w:color w:val="333333"/>
                <w:szCs w:val="21"/>
              </w:rPr>
              <w:t>剂型：</w:t>
            </w:r>
            <w:r>
              <w:rPr>
                <w:rFonts w:hint="eastAsia" w:ascii="宋体" w:hAnsi="宋体" w:cs="宋体"/>
                <w:color w:val="333333"/>
                <w:szCs w:val="21"/>
              </w:rPr>
              <w:t>水乳</w:t>
            </w:r>
            <w:r>
              <w:rPr>
                <w:rFonts w:ascii="宋体" w:hAnsi="宋体" w:cs="宋体"/>
                <w:color w:val="333333"/>
                <w:szCs w:val="21"/>
              </w:rPr>
              <w:t>剂</w:t>
            </w:r>
            <w:r>
              <w:rPr>
                <w:rFonts w:hint="eastAsia" w:ascii="宋体" w:hAnsi="宋体" w:cs="宋体"/>
                <w:color w:val="333333"/>
                <w:szCs w:val="21"/>
              </w:rPr>
              <w:t>；</w:t>
            </w:r>
            <w:r>
              <w:rPr>
                <w:rFonts w:ascii="宋体" w:hAnsi="宋体" w:cs="宋体"/>
                <w:color w:val="333333"/>
                <w:szCs w:val="21"/>
              </w:rPr>
              <w:t>毒性：低毒</w:t>
            </w:r>
            <w:r>
              <w:rPr>
                <w:rFonts w:hint="eastAsia" w:ascii="宋体" w:hAnsi="宋体" w:cs="宋体"/>
                <w:color w:val="333333"/>
                <w:szCs w:val="21"/>
              </w:rPr>
              <w:t>；</w:t>
            </w:r>
            <w:r>
              <w:rPr>
                <w:rFonts w:ascii="宋体" w:hAnsi="宋体" w:cs="宋体"/>
                <w:color w:val="333333"/>
                <w:szCs w:val="21"/>
              </w:rPr>
              <w:t>规格：2</w:t>
            </w:r>
            <w:r>
              <w:rPr>
                <w:rFonts w:hint="eastAsia" w:ascii="宋体" w:hAnsi="宋体" w:cs="宋体"/>
                <w:color w:val="333333"/>
                <w:szCs w:val="21"/>
              </w:rPr>
              <w:t>00毫升</w:t>
            </w:r>
            <w:r>
              <w:rPr>
                <w:rFonts w:ascii="宋体" w:hAnsi="宋体" w:cs="宋体"/>
                <w:color w:val="333333"/>
                <w:szCs w:val="21"/>
              </w:rPr>
              <w:t>/</w:t>
            </w:r>
            <w:r>
              <w:rPr>
                <w:rFonts w:hint="eastAsia" w:ascii="宋体" w:hAnsi="宋体" w:cs="宋体"/>
                <w:color w:val="333333"/>
                <w:szCs w:val="21"/>
              </w:rPr>
              <w:t>瓶；保质期12个月；农药“三</w:t>
            </w:r>
            <w:bookmarkStart w:id="1" w:name="_GoBack"/>
            <w:bookmarkEnd w:id="1"/>
            <w:r>
              <w:rPr>
                <w:rFonts w:hint="eastAsia" w:ascii="宋体" w:hAnsi="宋体" w:cs="宋体"/>
                <w:color w:val="333333"/>
                <w:szCs w:val="21"/>
              </w:rPr>
              <w:t>证”齐全</w:t>
            </w:r>
          </w:p>
        </w:tc>
        <w:tc>
          <w:tcPr>
            <w:tcW w:w="1133" w:type="dxa"/>
            <w:tcBorders>
              <w:top w:val="single" w:color="000000" w:sz="4" w:space="0"/>
              <w:left w:val="single" w:color="000000" w:sz="4" w:space="0"/>
              <w:bottom w:val="single" w:color="000000" w:sz="4" w:space="0"/>
              <w:right w:val="single" w:color="000000" w:sz="4" w:space="0"/>
            </w:tcBorders>
            <w:vAlign w:val="center"/>
          </w:tcPr>
          <w:p>
            <w:pPr>
              <w:widowControl/>
              <w:spacing w:line="500" w:lineRule="exact"/>
              <w:jc w:val="center"/>
              <w:rPr>
                <w:rFonts w:ascii="宋体" w:hAnsi="宋体" w:cs="宋体"/>
                <w:szCs w:val="21"/>
              </w:rPr>
            </w:pPr>
            <w:r>
              <w:rPr>
                <w:rFonts w:hint="eastAsia" w:ascii="宋体" w:hAnsi="宋体" w:cs="宋体"/>
                <w:szCs w:val="21"/>
              </w:rPr>
              <w:t>3000</w:t>
            </w:r>
            <w:r>
              <w:rPr>
                <w:rFonts w:ascii="宋体" w:hAnsi="宋体" w:cs="宋体"/>
                <w:szCs w:val="21"/>
              </w:rPr>
              <w:t>瓶</w:t>
            </w:r>
          </w:p>
        </w:tc>
      </w:tr>
      <w:tr>
        <w:tblPrEx>
          <w:tblLayout w:type="fixed"/>
          <w:tblCellMar>
            <w:top w:w="0" w:type="dxa"/>
            <w:left w:w="108" w:type="dxa"/>
            <w:bottom w:w="0" w:type="dxa"/>
            <w:right w:w="108" w:type="dxa"/>
          </w:tblCellMar>
        </w:tblPrEx>
        <w:trPr>
          <w:trHeight w:val="1081" w:hRule="atLeast"/>
        </w:trPr>
        <w:tc>
          <w:tcPr>
            <w:tcW w:w="9145" w:type="dxa"/>
            <w:gridSpan w:val="4"/>
            <w:tcBorders>
              <w:top w:val="single" w:color="000000" w:sz="4" w:space="0"/>
              <w:left w:val="single" w:color="000000" w:sz="4" w:space="0"/>
              <w:bottom w:val="single" w:color="000000" w:sz="4" w:space="0"/>
              <w:right w:val="single" w:color="000000" w:sz="4" w:space="0"/>
            </w:tcBorders>
            <w:vAlign w:val="center"/>
          </w:tcPr>
          <w:p>
            <w:pPr>
              <w:pStyle w:val="2"/>
              <w:snapToGrid w:val="0"/>
              <w:spacing w:before="120" w:after="120" w:line="300" w:lineRule="auto"/>
              <w:ind w:firstLine="420"/>
              <w:outlineLvl w:val="0"/>
              <w:rPr>
                <w:rFonts w:hint="eastAsia" w:hAnsi="宋体"/>
                <w:b/>
                <w:sz w:val="21"/>
              </w:rPr>
            </w:pPr>
            <w:bookmarkStart w:id="0" w:name="_Toc426043973"/>
            <w:r>
              <w:rPr>
                <w:rFonts w:hint="eastAsia" w:hAnsi="宋体"/>
                <w:b/>
                <w:sz w:val="21"/>
              </w:rPr>
              <w:t>技术参数及性能配置要求提供的所有证明文件所要求加盖的公章均不能打印</w:t>
            </w:r>
            <w:bookmarkEnd w:id="0"/>
          </w:p>
          <w:p>
            <w:pPr>
              <w:spacing w:line="300" w:lineRule="auto"/>
              <w:ind w:firstLine="422" w:firstLineChars="200"/>
              <w:rPr>
                <w:rFonts w:hint="eastAsia" w:ascii="宋体" w:hAnsi="宋体"/>
                <w:b/>
                <w:szCs w:val="21"/>
              </w:rPr>
            </w:pPr>
            <w:r>
              <w:rPr>
                <w:rFonts w:hint="eastAsia" w:ascii="宋体" w:hAnsi="宋体"/>
                <w:b/>
                <w:szCs w:val="21"/>
              </w:rPr>
              <w:t>表中的技术参数起参考作用，</w:t>
            </w:r>
            <w:r>
              <w:rPr>
                <w:rFonts w:hint="eastAsia" w:ascii="宋体" w:hAnsi="宋体"/>
                <w:b/>
                <w:szCs w:val="21"/>
                <w:lang w:val="en-US" w:eastAsia="zh-CN"/>
              </w:rPr>
              <w:t>所供产品</w:t>
            </w:r>
            <w:r>
              <w:rPr>
                <w:rFonts w:hint="eastAsia" w:ascii="宋体" w:hAnsi="宋体"/>
                <w:b/>
                <w:szCs w:val="21"/>
              </w:rPr>
              <w:t>技术参数性能（配置）</w:t>
            </w:r>
            <w:r>
              <w:rPr>
                <w:rFonts w:hint="eastAsia" w:ascii="宋体" w:hAnsi="宋体"/>
                <w:b/>
                <w:szCs w:val="21"/>
                <w:lang w:val="en-US" w:eastAsia="zh-CN"/>
              </w:rPr>
              <w:t>可</w:t>
            </w:r>
            <w:r>
              <w:rPr>
                <w:rFonts w:hint="eastAsia" w:ascii="宋体" w:hAnsi="宋体"/>
                <w:b/>
                <w:szCs w:val="21"/>
              </w:rPr>
              <w:t>实质上相当于或优</w:t>
            </w:r>
          </w:p>
          <w:p>
            <w:pPr>
              <w:spacing w:line="300" w:lineRule="auto"/>
              <w:rPr>
                <w:rFonts w:hint="eastAsia" w:ascii="宋体" w:hAnsi="宋体"/>
                <w:kern w:val="0"/>
              </w:rPr>
            </w:pPr>
            <w:r>
              <w:rPr>
                <w:rFonts w:hint="eastAsia" w:ascii="宋体" w:hAnsi="宋体"/>
                <w:b/>
                <w:szCs w:val="21"/>
                <w:lang w:val="en-US" w:eastAsia="zh-CN"/>
              </w:rPr>
              <w:t xml:space="preserve">    </w:t>
            </w:r>
            <w:r>
              <w:rPr>
                <w:rFonts w:hint="eastAsia" w:ascii="宋体" w:hAnsi="宋体"/>
                <w:b/>
                <w:szCs w:val="21"/>
              </w:rPr>
              <w:t>于表中</w:t>
            </w:r>
            <w:r>
              <w:rPr>
                <w:rFonts w:hint="eastAsia" w:ascii="宋体" w:hAnsi="宋体"/>
                <w:b/>
                <w:szCs w:val="21"/>
                <w:lang w:val="en-US" w:eastAsia="zh-CN"/>
              </w:rPr>
              <w:t>的</w:t>
            </w:r>
            <w:r>
              <w:rPr>
                <w:rFonts w:hint="eastAsia" w:ascii="宋体" w:hAnsi="宋体"/>
                <w:b/>
                <w:szCs w:val="21"/>
              </w:rPr>
              <w:t>技术参数的性能（配置）</w:t>
            </w:r>
            <w:r>
              <w:rPr>
                <w:rFonts w:hint="eastAsia" w:ascii="宋体" w:hAnsi="宋体"/>
                <w:kern w:val="0"/>
              </w:rPr>
              <w:t>。</w:t>
            </w:r>
          </w:p>
          <w:p>
            <w:pPr>
              <w:widowControl/>
              <w:spacing w:line="500" w:lineRule="exact"/>
              <w:rPr>
                <w:rFonts w:hint="eastAsia"/>
                <w:kern w:val="1"/>
                <w:szCs w:val="21"/>
              </w:rPr>
            </w:pPr>
            <w:r>
              <w:rPr>
                <w:rFonts w:hint="eastAsia"/>
                <w:b/>
                <w:kern w:val="1"/>
                <w:szCs w:val="21"/>
                <w:lang w:val="en-US" w:eastAsia="zh-CN"/>
              </w:rPr>
              <w:t xml:space="preserve">    </w:t>
            </w:r>
            <w:r>
              <w:rPr>
                <w:rFonts w:hint="eastAsia"/>
                <w:b/>
                <w:kern w:val="1"/>
                <w:szCs w:val="21"/>
              </w:rPr>
              <w:t>对每种产品</w:t>
            </w:r>
            <w:r>
              <w:rPr>
                <w:b/>
                <w:szCs w:val="21"/>
              </w:rPr>
              <w:t>提供</w:t>
            </w:r>
            <w:r>
              <w:rPr>
                <w:rFonts w:hint="eastAsia"/>
                <w:b/>
                <w:kern w:val="1"/>
                <w:szCs w:val="21"/>
              </w:rPr>
              <w:sym w:font="Wingdings" w:char="F081"/>
            </w:r>
            <w:r>
              <w:rPr>
                <w:b/>
                <w:kern w:val="1"/>
                <w:szCs w:val="21"/>
              </w:rPr>
              <w:t>市级以上（含市级）质量检测机构所出具的《产品质量检验报告》复印件，报告的检测结果</w:t>
            </w:r>
            <w:r>
              <w:rPr>
                <w:rFonts w:hint="eastAsia"/>
                <w:b/>
                <w:kern w:val="1"/>
                <w:szCs w:val="21"/>
                <w:lang w:val="en-US" w:eastAsia="zh-CN"/>
              </w:rPr>
              <w:t>必须</w:t>
            </w:r>
            <w:r>
              <w:rPr>
                <w:b/>
                <w:kern w:val="1"/>
                <w:szCs w:val="21"/>
              </w:rPr>
              <w:t>符合采购货物技术指标参数要求</w:t>
            </w:r>
            <w:r>
              <w:rPr>
                <w:rFonts w:hint="eastAsia"/>
                <w:b/>
                <w:kern w:val="1"/>
                <w:szCs w:val="21"/>
                <w:lang w:eastAsia="zh-CN"/>
              </w:rPr>
              <w:t>。</w:t>
            </w:r>
            <w:r>
              <w:rPr>
                <w:rFonts w:hint="eastAsia"/>
                <w:b/>
                <w:kern w:val="1"/>
                <w:szCs w:val="21"/>
              </w:rPr>
              <w:sym w:font="Wingdings" w:char="F082"/>
            </w:r>
            <w:r>
              <w:rPr>
                <w:rFonts w:hint="eastAsia" w:ascii="宋体" w:hAnsi="宋体" w:cs="宋体"/>
                <w:b/>
                <w:color w:val="333333"/>
                <w:szCs w:val="21"/>
              </w:rPr>
              <w:t>农药“三证”复印件（农药登记证或农药临时登记证，农药批准证货生产许可证，农药执行标准证）</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B74D48"/>
    <w:rsid w:val="22D35978"/>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kern w:val="2"/>
      <w:sz w:val="21"/>
      <w:szCs w:val="24"/>
      <w:lang w:val="en-US" w:eastAsia="zh-CN" w:bidi="ar-SA"/>
    </w:rPr>
  </w:style>
  <w:style w:type="character" w:default="1" w:styleId="3">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Plain Text"/>
    <w:basedOn w:val="1"/>
    <w:uiPriority w:val="0"/>
    <w:rPr>
      <w:rFonts w:ascii="宋体" w:hAnsi="Courier New"/>
      <w:kern w:val="0"/>
      <w:sz w:val="20"/>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Office_10.1.0.6065_F1E327BC-269C-435d-A152-05C5408002CA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2016-11-25T16:55:33Z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