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C60D33">
      <w:pPr>
        <w:pStyle w:val="32"/>
        <w:rPr>
          <w:rFonts w:hint="eastAsia" w:ascii="黑体" w:hAnsi="黑体" w:eastAsia="黑体" w:cs="黑体"/>
          <w:b w:val="0"/>
          <w:bCs w:val="0"/>
          <w:sz w:val="36"/>
          <w:szCs w:val="24"/>
        </w:rPr>
      </w:pPr>
      <w:r>
        <w:rPr>
          <w:rFonts w:hint="eastAsia" w:ascii="黑体" w:hAnsi="黑体" w:eastAsia="黑体" w:cs="黑体"/>
          <w:b w:val="0"/>
          <w:bCs w:val="0"/>
          <w:sz w:val="36"/>
          <w:szCs w:val="24"/>
        </w:rPr>
        <w:t>无缝钢管采购技术规格书</w:t>
      </w:r>
    </w:p>
    <w:p w14:paraId="40E464E2">
      <w:pPr>
        <w:pStyle w:val="3"/>
        <w:widowControl/>
        <w:numPr>
          <w:ilvl w:val="0"/>
          <w:numId w:val="7"/>
        </w:numPr>
        <w:topLinePunct w:val="0"/>
        <w:ind w:left="0" w:leftChars="0" w:firstLine="0" w:firstLineChars="0"/>
        <w:rPr>
          <w:rFonts w:hint="eastAsia" w:ascii="宋体" w:hAnsi="宋体" w:eastAsia="宋体" w:cs="宋体"/>
          <w:b/>
          <w:bCs/>
          <w:sz w:val="32"/>
          <w:szCs w:val="44"/>
        </w:rPr>
      </w:pPr>
      <w:r>
        <w:rPr>
          <w:rFonts w:hint="eastAsia" w:ascii="宋体" w:hAnsi="宋体" w:eastAsia="宋体" w:cs="宋体"/>
          <w:b/>
          <w:bCs/>
          <w:sz w:val="32"/>
          <w:szCs w:val="44"/>
        </w:rPr>
        <w:t>总则</w:t>
      </w:r>
    </w:p>
    <w:p w14:paraId="362DB3FA">
      <w:pPr>
        <w:pStyle w:val="4"/>
        <w:widowControl/>
        <w:numPr>
          <w:ilvl w:val="0"/>
          <w:numId w:val="8"/>
        </w:numPr>
        <w:ind w:left="0" w:leftChars="0" w:firstLine="0" w:firstLineChars="0"/>
        <w:rPr>
          <w:rFonts w:hint="eastAsia" w:ascii="宋体" w:hAnsi="宋体" w:eastAsia="宋体" w:cs="宋体"/>
          <w:b w:val="0"/>
          <w:bCs w:val="0"/>
          <w:sz w:val="30"/>
          <w:szCs w:val="32"/>
        </w:rPr>
      </w:pPr>
      <w:r>
        <w:rPr>
          <w:rFonts w:hint="eastAsia" w:ascii="宋体" w:hAnsi="宋体" w:eastAsia="宋体" w:cs="宋体"/>
          <w:b w:val="0"/>
          <w:bCs w:val="0"/>
          <w:sz w:val="30"/>
          <w:szCs w:val="32"/>
        </w:rPr>
        <w:t>目的与适用范围</w:t>
      </w:r>
    </w:p>
    <w:p w14:paraId="6C4515A0">
      <w:pPr>
        <w:pStyle w:val="19"/>
        <w:widowControl/>
        <w:rPr>
          <w:rFonts w:hint="eastAsia" w:ascii="宋体" w:hAnsi="宋体" w:eastAsia="宋体" w:cs="宋体"/>
          <w:b w:val="0"/>
          <w:bCs w:val="0"/>
          <w:sz w:val="24"/>
          <w:szCs w:val="24"/>
        </w:rPr>
      </w:pPr>
      <w:r>
        <w:rPr>
          <w:rFonts w:hint="eastAsia" w:ascii="宋体" w:hAnsi="宋体" w:eastAsia="宋体" w:cs="宋体"/>
          <w:b w:val="0"/>
          <w:bCs w:val="0"/>
          <w:sz w:val="24"/>
          <w:szCs w:val="24"/>
        </w:rPr>
        <w:t>本技术规格书规定了采购无缝钢管的技术要求、质量标准、检验方法及验收规则，适用于本项目所采购的各类无缝钢管。本规格书涉及的钢管材质与执行标准如下，协议中未提及的内容，均按国家标准及行业现行有效版本</w:t>
      </w:r>
      <w:r>
        <w:rPr>
          <w:rFonts w:hint="eastAsia" w:ascii="宋体" w:hAnsi="宋体" w:eastAsia="宋体" w:cs="宋体"/>
          <w:b w:val="0"/>
          <w:bCs w:val="0"/>
          <w:sz w:val="24"/>
          <w:szCs w:val="24"/>
          <w:lang w:val="en-US" w:eastAsia="zh-CN"/>
        </w:rPr>
        <w:t>的要求</w:t>
      </w:r>
      <w:r>
        <w:rPr>
          <w:rFonts w:hint="eastAsia" w:ascii="宋体" w:hAnsi="宋体" w:eastAsia="宋体" w:cs="宋体"/>
          <w:b w:val="0"/>
          <w:bCs w:val="0"/>
          <w:sz w:val="24"/>
          <w:szCs w:val="24"/>
        </w:rPr>
        <w:t>执行。</w:t>
      </w:r>
    </w:p>
    <w:tbl>
      <w:tblPr>
        <w:tblStyle w:val="33"/>
        <w:tblW w:w="4152" w:type="pct"/>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0" w:type="dxa"/>
          <w:left w:w="108" w:type="dxa"/>
          <w:bottom w:w="0" w:type="dxa"/>
          <w:right w:w="108" w:type="dxa"/>
        </w:tblCellMar>
      </w:tblPr>
      <w:tblGrid>
        <w:gridCol w:w="715"/>
        <w:gridCol w:w="2211"/>
        <w:gridCol w:w="2211"/>
        <w:gridCol w:w="2212"/>
      </w:tblGrid>
      <w:tr w14:paraId="233BEE1D">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486" w:type="pct"/>
          </w:tcPr>
          <w:p w14:paraId="22973DEC">
            <w:pPr>
              <w:spacing w:before="40" w:after="40"/>
              <w:jc w:val="center"/>
              <w:rPr>
                <w:rFonts w:hint="eastAsia" w:ascii="宋体" w:hAnsi="宋体" w:eastAsia="宋体" w:cs="宋体"/>
              </w:rPr>
            </w:pPr>
            <w:r>
              <w:rPr>
                <w:rFonts w:hint="eastAsia" w:ascii="宋体" w:hAnsi="宋体" w:eastAsia="宋体" w:cs="宋体"/>
                <w:b/>
                <w:color w:val="000000"/>
                <w:sz w:val="18"/>
              </w:rPr>
              <w:t>序号</w:t>
            </w:r>
          </w:p>
        </w:tc>
        <w:tc>
          <w:tcPr>
            <w:tcW w:w="1504" w:type="pct"/>
          </w:tcPr>
          <w:p w14:paraId="457223C6">
            <w:pPr>
              <w:spacing w:before="40" w:after="40"/>
              <w:jc w:val="center"/>
              <w:rPr>
                <w:rFonts w:hint="eastAsia" w:ascii="宋体" w:hAnsi="宋体" w:eastAsia="宋体" w:cs="宋体"/>
              </w:rPr>
            </w:pPr>
            <w:r>
              <w:rPr>
                <w:rFonts w:hint="eastAsia" w:ascii="宋体" w:hAnsi="宋体" w:eastAsia="宋体" w:cs="宋体"/>
                <w:b/>
                <w:color w:val="000000"/>
                <w:sz w:val="18"/>
              </w:rPr>
              <w:t>材质</w:t>
            </w:r>
          </w:p>
        </w:tc>
        <w:tc>
          <w:tcPr>
            <w:tcW w:w="1504" w:type="pct"/>
          </w:tcPr>
          <w:p w14:paraId="1CE34965">
            <w:pPr>
              <w:spacing w:before="40" w:after="40"/>
              <w:jc w:val="center"/>
              <w:rPr>
                <w:rFonts w:hint="eastAsia" w:ascii="宋体" w:hAnsi="宋体" w:eastAsia="宋体" w:cs="宋体"/>
              </w:rPr>
            </w:pPr>
            <w:r>
              <w:rPr>
                <w:rFonts w:hint="eastAsia" w:ascii="宋体" w:hAnsi="宋体" w:eastAsia="宋体" w:cs="宋体"/>
                <w:b/>
                <w:color w:val="000000"/>
                <w:sz w:val="18"/>
              </w:rPr>
              <w:t>执行标准</w:t>
            </w:r>
          </w:p>
        </w:tc>
        <w:tc>
          <w:tcPr>
            <w:tcW w:w="1504" w:type="pct"/>
          </w:tcPr>
          <w:p w14:paraId="4D9E3C18">
            <w:pPr>
              <w:spacing w:before="40" w:after="40"/>
              <w:jc w:val="center"/>
              <w:rPr>
                <w:rFonts w:hint="eastAsia" w:ascii="宋体" w:hAnsi="宋体" w:eastAsia="宋体" w:cs="宋体"/>
              </w:rPr>
            </w:pPr>
            <w:r>
              <w:rPr>
                <w:rFonts w:hint="eastAsia" w:ascii="宋体" w:hAnsi="宋体" w:eastAsia="宋体" w:cs="宋体"/>
                <w:b/>
                <w:color w:val="000000"/>
                <w:sz w:val="18"/>
              </w:rPr>
              <w:t>用途</w:t>
            </w:r>
          </w:p>
        </w:tc>
      </w:tr>
      <w:tr w14:paraId="7461223A">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486" w:type="pct"/>
          </w:tcPr>
          <w:p w14:paraId="2B7FBB25">
            <w:pPr>
              <w:spacing w:before="40" w:after="40"/>
              <w:jc w:val="center"/>
              <w:rPr>
                <w:rFonts w:hint="eastAsia" w:ascii="宋体" w:hAnsi="宋体" w:eastAsia="宋体" w:cs="宋体"/>
              </w:rPr>
            </w:pPr>
            <w:r>
              <w:rPr>
                <w:rFonts w:hint="eastAsia" w:ascii="宋体" w:hAnsi="宋体" w:eastAsia="宋体" w:cs="宋体"/>
                <w:sz w:val="18"/>
              </w:rPr>
              <w:t>1</w:t>
            </w:r>
          </w:p>
        </w:tc>
        <w:tc>
          <w:tcPr>
            <w:tcW w:w="1504" w:type="pct"/>
          </w:tcPr>
          <w:p w14:paraId="4DD8F1D8">
            <w:pPr>
              <w:spacing w:before="40" w:after="40"/>
              <w:jc w:val="left"/>
              <w:rPr>
                <w:rFonts w:hint="eastAsia" w:ascii="宋体" w:hAnsi="宋体" w:eastAsia="宋体" w:cs="宋体"/>
              </w:rPr>
            </w:pPr>
            <w:r>
              <w:rPr>
                <w:rFonts w:hint="eastAsia" w:ascii="宋体" w:hAnsi="宋体" w:eastAsia="宋体" w:cs="宋体"/>
                <w:sz w:val="18"/>
              </w:rPr>
              <w:t>20#、Q355D、Q355E</w:t>
            </w:r>
          </w:p>
        </w:tc>
        <w:tc>
          <w:tcPr>
            <w:tcW w:w="1504" w:type="pct"/>
          </w:tcPr>
          <w:p w14:paraId="6E024A99">
            <w:pPr>
              <w:spacing w:before="40" w:after="40"/>
              <w:jc w:val="left"/>
              <w:rPr>
                <w:rFonts w:hint="eastAsia" w:ascii="宋体" w:hAnsi="宋体" w:eastAsia="宋体" w:cs="宋体"/>
              </w:rPr>
            </w:pPr>
            <w:r>
              <w:rPr>
                <w:rFonts w:hint="eastAsia" w:ascii="宋体" w:hAnsi="宋体" w:eastAsia="宋体" w:cs="宋体"/>
                <w:sz w:val="18"/>
              </w:rPr>
              <w:t>GB/T 9948、GB/T 150.2</w:t>
            </w:r>
          </w:p>
        </w:tc>
        <w:tc>
          <w:tcPr>
            <w:tcW w:w="1504" w:type="pct"/>
          </w:tcPr>
          <w:p w14:paraId="60224AB0">
            <w:pPr>
              <w:spacing w:before="40" w:after="40"/>
              <w:jc w:val="left"/>
              <w:rPr>
                <w:rFonts w:hint="eastAsia" w:ascii="宋体" w:hAnsi="宋体" w:eastAsia="宋体" w:cs="宋体"/>
              </w:rPr>
            </w:pPr>
            <w:r>
              <w:rPr>
                <w:rFonts w:hint="eastAsia" w:ascii="宋体" w:hAnsi="宋体" w:eastAsia="宋体" w:cs="宋体"/>
                <w:sz w:val="18"/>
              </w:rPr>
              <w:t>压力容器用钢管</w:t>
            </w:r>
          </w:p>
        </w:tc>
      </w:tr>
      <w:tr w14:paraId="49060450">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486" w:type="pct"/>
          </w:tcPr>
          <w:p w14:paraId="1B48E232">
            <w:pPr>
              <w:spacing w:before="40" w:after="40"/>
              <w:jc w:val="center"/>
              <w:rPr>
                <w:rFonts w:hint="eastAsia" w:ascii="宋体" w:hAnsi="宋体" w:eastAsia="宋体" w:cs="宋体"/>
              </w:rPr>
            </w:pPr>
            <w:r>
              <w:rPr>
                <w:rFonts w:hint="eastAsia" w:ascii="宋体" w:hAnsi="宋体" w:eastAsia="宋体" w:cs="宋体"/>
                <w:sz w:val="18"/>
              </w:rPr>
              <w:t>2</w:t>
            </w:r>
          </w:p>
        </w:tc>
        <w:tc>
          <w:tcPr>
            <w:tcW w:w="1504" w:type="pct"/>
          </w:tcPr>
          <w:p w14:paraId="5E8994D8">
            <w:pPr>
              <w:spacing w:before="40" w:after="40"/>
              <w:jc w:val="left"/>
              <w:rPr>
                <w:rFonts w:hint="eastAsia" w:ascii="宋体" w:hAnsi="宋体" w:eastAsia="宋体" w:cs="宋体"/>
              </w:rPr>
            </w:pPr>
            <w:r>
              <w:rPr>
                <w:rFonts w:hint="eastAsia" w:ascii="宋体" w:hAnsi="宋体" w:eastAsia="宋体" w:cs="宋体"/>
                <w:sz w:val="18"/>
              </w:rPr>
              <w:t>L245N</w:t>
            </w:r>
            <w:r>
              <w:rPr>
                <w:rFonts w:hint="eastAsia" w:ascii="宋体" w:hAnsi="宋体" w:eastAsia="宋体" w:cs="宋体"/>
                <w:sz w:val="18"/>
                <w:lang w:val="en-US" w:eastAsia="zh-CN"/>
              </w:rPr>
              <w:t>、</w:t>
            </w:r>
            <w:r>
              <w:rPr>
                <w:rFonts w:hint="eastAsia" w:ascii="宋体" w:hAnsi="宋体" w:eastAsia="宋体" w:cs="宋体"/>
                <w:sz w:val="18"/>
              </w:rPr>
              <w:t xml:space="preserve"> L360N</w:t>
            </w:r>
          </w:p>
        </w:tc>
        <w:tc>
          <w:tcPr>
            <w:tcW w:w="1504" w:type="pct"/>
          </w:tcPr>
          <w:p w14:paraId="54D6E5E6">
            <w:pPr>
              <w:spacing w:before="40" w:after="40"/>
              <w:jc w:val="left"/>
              <w:rPr>
                <w:rFonts w:hint="eastAsia" w:ascii="宋体" w:hAnsi="宋体" w:eastAsia="宋体" w:cs="宋体"/>
              </w:rPr>
            </w:pPr>
            <w:r>
              <w:rPr>
                <w:rFonts w:hint="eastAsia" w:ascii="宋体" w:hAnsi="宋体" w:eastAsia="宋体" w:cs="宋体"/>
                <w:sz w:val="18"/>
              </w:rPr>
              <w:t>GB/T 9711、GB/T 20801.1</w:t>
            </w:r>
          </w:p>
        </w:tc>
        <w:tc>
          <w:tcPr>
            <w:tcW w:w="1504" w:type="pct"/>
          </w:tcPr>
          <w:p w14:paraId="3D01394B">
            <w:pPr>
              <w:spacing w:before="40" w:after="40"/>
              <w:jc w:val="left"/>
              <w:rPr>
                <w:rFonts w:hint="eastAsia" w:ascii="宋体" w:hAnsi="宋体" w:eastAsia="宋体" w:cs="宋体"/>
              </w:rPr>
            </w:pPr>
            <w:r>
              <w:rPr>
                <w:rFonts w:hint="eastAsia" w:ascii="宋体" w:hAnsi="宋体" w:eastAsia="宋体" w:cs="宋体"/>
                <w:sz w:val="18"/>
              </w:rPr>
              <w:t>GC1 压力管道用钢管</w:t>
            </w:r>
          </w:p>
        </w:tc>
      </w:tr>
      <w:tr w14:paraId="373C4354">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486" w:type="pct"/>
          </w:tcPr>
          <w:p w14:paraId="08BF5FEB">
            <w:pPr>
              <w:spacing w:before="40" w:after="40"/>
              <w:jc w:val="center"/>
              <w:rPr>
                <w:rFonts w:hint="eastAsia" w:ascii="宋体" w:hAnsi="宋体" w:eastAsia="宋体" w:cs="宋体"/>
              </w:rPr>
            </w:pPr>
            <w:r>
              <w:rPr>
                <w:rFonts w:hint="eastAsia" w:ascii="宋体" w:hAnsi="宋体" w:eastAsia="宋体" w:cs="宋体"/>
                <w:sz w:val="18"/>
              </w:rPr>
              <w:t>3</w:t>
            </w:r>
          </w:p>
        </w:tc>
        <w:tc>
          <w:tcPr>
            <w:tcW w:w="1504" w:type="pct"/>
          </w:tcPr>
          <w:p w14:paraId="2C8D50A8">
            <w:pPr>
              <w:spacing w:before="40" w:after="40"/>
              <w:jc w:val="left"/>
              <w:rPr>
                <w:rFonts w:hint="eastAsia" w:ascii="宋体" w:hAnsi="宋体" w:eastAsia="宋体" w:cs="宋体"/>
              </w:rPr>
            </w:pPr>
            <w:r>
              <w:rPr>
                <w:rFonts w:hint="eastAsia" w:ascii="宋体" w:hAnsi="宋体" w:eastAsia="宋体" w:cs="宋体"/>
                <w:sz w:val="18"/>
              </w:rPr>
              <w:t>45#</w:t>
            </w:r>
          </w:p>
        </w:tc>
        <w:tc>
          <w:tcPr>
            <w:tcW w:w="1504" w:type="pct"/>
          </w:tcPr>
          <w:p w14:paraId="2FE46690">
            <w:pPr>
              <w:spacing w:before="40" w:after="40"/>
              <w:jc w:val="left"/>
              <w:rPr>
                <w:rFonts w:hint="eastAsia" w:ascii="宋体" w:hAnsi="宋体" w:eastAsia="宋体" w:cs="宋体"/>
              </w:rPr>
            </w:pPr>
            <w:r>
              <w:rPr>
                <w:rFonts w:hint="eastAsia" w:ascii="宋体" w:hAnsi="宋体" w:eastAsia="宋体" w:cs="宋体"/>
                <w:sz w:val="18"/>
              </w:rPr>
              <w:t>GB/T 8162</w:t>
            </w:r>
          </w:p>
        </w:tc>
        <w:tc>
          <w:tcPr>
            <w:tcW w:w="1504" w:type="pct"/>
          </w:tcPr>
          <w:p w14:paraId="072E6618">
            <w:pPr>
              <w:spacing w:before="40" w:after="40"/>
              <w:jc w:val="left"/>
              <w:rPr>
                <w:rFonts w:hint="eastAsia" w:ascii="宋体" w:hAnsi="宋体" w:eastAsia="宋体" w:cs="宋体"/>
                <w:lang w:val="en-US" w:eastAsia="zh-CN"/>
              </w:rPr>
            </w:pPr>
            <w:r>
              <w:rPr>
                <w:rFonts w:hint="eastAsia" w:ascii="宋体" w:hAnsi="宋体" w:eastAsia="宋体" w:cs="宋体"/>
              </w:rPr>
              <w:t>液压缸筒、</w:t>
            </w:r>
            <w:r>
              <w:rPr>
                <w:rFonts w:hint="eastAsia" w:ascii="宋体" w:hAnsi="宋体" w:eastAsia="宋体" w:cs="宋体"/>
                <w:lang w:val="en-US" w:eastAsia="zh-CN"/>
              </w:rPr>
              <w:t>模具等</w:t>
            </w:r>
          </w:p>
        </w:tc>
      </w:tr>
    </w:tbl>
    <w:p w14:paraId="70A9EF13">
      <w:pPr>
        <w:pStyle w:val="4"/>
        <w:widowControl/>
        <w:numPr>
          <w:ilvl w:val="0"/>
          <w:numId w:val="8"/>
        </w:numPr>
        <w:ind w:left="0" w:leftChars="0" w:firstLine="0" w:firstLineChars="0"/>
        <w:rPr>
          <w:rFonts w:hint="eastAsia" w:ascii="宋体" w:hAnsi="宋体" w:eastAsia="宋体" w:cs="宋体"/>
          <w:b w:val="0"/>
          <w:bCs w:val="0"/>
          <w:sz w:val="30"/>
          <w:szCs w:val="32"/>
        </w:rPr>
      </w:pPr>
      <w:r>
        <w:rPr>
          <w:rFonts w:hint="eastAsia" w:ascii="宋体" w:hAnsi="宋体" w:eastAsia="宋体" w:cs="宋体"/>
          <w:b w:val="0"/>
          <w:bCs w:val="0"/>
          <w:sz w:val="30"/>
          <w:szCs w:val="32"/>
        </w:rPr>
        <w:t>引用标准</w:t>
      </w:r>
    </w:p>
    <w:p w14:paraId="78E6C4AB">
      <w:pPr>
        <w:pStyle w:val="19"/>
        <w:widowControl/>
        <w:rPr>
          <w:rFonts w:hint="eastAsia" w:ascii="宋体" w:hAnsi="宋体" w:eastAsia="宋体" w:cs="宋体"/>
          <w:b w:val="0"/>
          <w:bCs w:val="0"/>
          <w:sz w:val="24"/>
          <w:szCs w:val="24"/>
        </w:rPr>
      </w:pPr>
      <w:r>
        <w:rPr>
          <w:rFonts w:hint="eastAsia" w:ascii="宋体" w:hAnsi="宋体" w:eastAsia="宋体" w:cs="宋体"/>
          <w:b w:val="0"/>
          <w:bCs w:val="0"/>
          <w:sz w:val="24"/>
          <w:szCs w:val="24"/>
        </w:rPr>
        <w:t>本规格书在引用下列标准文件时，凡注明日期的引用文件，仅注日期的版本适用于本规格书；凡不注明日期的引用文件，其最新版本（包括所有的修改单）适用于本规格书。</w:t>
      </w:r>
    </w:p>
    <w:p w14:paraId="6A28712C">
      <w:pPr>
        <w:pStyle w:val="19"/>
        <w:widowControl/>
        <w:numPr>
          <w:ilvl w:val="0"/>
          <w:numId w:val="0"/>
        </w:numPr>
        <w:ind w:left="480" w:leftChars="0"/>
        <w:rPr>
          <w:rFonts w:hint="eastAsia" w:ascii="宋体" w:hAnsi="宋体" w:eastAsia="宋体" w:cs="宋体"/>
          <w:b w:val="0"/>
          <w:bCs w:val="0"/>
          <w:sz w:val="24"/>
          <w:szCs w:val="24"/>
        </w:rPr>
      </w:pPr>
      <w:r>
        <w:rPr>
          <w:rFonts w:hint="eastAsia" w:ascii="宋体" w:hAnsi="宋体" w:eastAsia="宋体" w:cs="宋体"/>
          <w:b w:val="0"/>
          <w:bCs w:val="0"/>
          <w:sz w:val="24"/>
          <w:szCs w:val="24"/>
        </w:rPr>
        <w:t>GB/T 9948《石油裂化用无缝钢管》</w:t>
      </w:r>
    </w:p>
    <w:p w14:paraId="1EA8AD7D">
      <w:pPr>
        <w:pStyle w:val="19"/>
        <w:widowControl/>
        <w:numPr>
          <w:ilvl w:val="0"/>
          <w:numId w:val="0"/>
        </w:numPr>
        <w:ind w:left="480" w:leftChars="0"/>
        <w:rPr>
          <w:rFonts w:hint="eastAsia" w:ascii="宋体" w:hAnsi="宋体" w:eastAsia="宋体" w:cs="宋体"/>
          <w:b w:val="0"/>
          <w:bCs w:val="0"/>
          <w:sz w:val="24"/>
          <w:szCs w:val="24"/>
        </w:rPr>
      </w:pPr>
      <w:r>
        <w:rPr>
          <w:rFonts w:hint="eastAsia" w:ascii="宋体" w:hAnsi="宋体" w:eastAsia="宋体" w:cs="宋体"/>
          <w:b w:val="0"/>
          <w:bCs w:val="0"/>
          <w:sz w:val="24"/>
          <w:szCs w:val="24"/>
        </w:rPr>
        <w:t>GB/T 9711《石油天然气工业 管线输送系统用钢管》</w:t>
      </w:r>
    </w:p>
    <w:p w14:paraId="3B24D8D7">
      <w:pPr>
        <w:pStyle w:val="19"/>
        <w:widowControl/>
        <w:numPr>
          <w:ilvl w:val="0"/>
          <w:numId w:val="0"/>
        </w:numPr>
        <w:ind w:left="480" w:leftChars="0"/>
        <w:rPr>
          <w:rFonts w:hint="eastAsia" w:ascii="宋体" w:hAnsi="宋体" w:eastAsia="宋体" w:cs="宋体"/>
          <w:b w:val="0"/>
          <w:bCs w:val="0"/>
          <w:sz w:val="24"/>
          <w:szCs w:val="24"/>
        </w:rPr>
      </w:pPr>
      <w:r>
        <w:rPr>
          <w:rFonts w:hint="eastAsia" w:ascii="宋体" w:hAnsi="宋体" w:eastAsia="宋体" w:cs="宋体"/>
          <w:b w:val="0"/>
          <w:bCs w:val="0"/>
          <w:sz w:val="24"/>
          <w:szCs w:val="24"/>
        </w:rPr>
        <w:t>GB/T 8162《结构用无缝钢管》</w:t>
      </w:r>
    </w:p>
    <w:p w14:paraId="6515567B">
      <w:pPr>
        <w:pStyle w:val="19"/>
        <w:widowControl/>
        <w:numPr>
          <w:ilvl w:val="0"/>
          <w:numId w:val="0"/>
        </w:numPr>
        <w:ind w:left="480" w:leftChars="0"/>
        <w:rPr>
          <w:rFonts w:hint="eastAsia" w:ascii="宋体" w:hAnsi="宋体" w:eastAsia="宋体" w:cs="宋体"/>
          <w:b w:val="0"/>
          <w:bCs w:val="0"/>
          <w:sz w:val="24"/>
          <w:szCs w:val="24"/>
        </w:rPr>
      </w:pPr>
      <w:r>
        <w:rPr>
          <w:rFonts w:hint="eastAsia" w:ascii="宋体" w:hAnsi="宋体" w:eastAsia="宋体" w:cs="宋体"/>
          <w:b w:val="0"/>
          <w:bCs w:val="0"/>
          <w:sz w:val="24"/>
          <w:szCs w:val="24"/>
        </w:rPr>
        <w:t>GB/T 17395《无缝钢管尺寸、外形、重量及允许偏差》</w:t>
      </w:r>
    </w:p>
    <w:p w14:paraId="71E3BA40">
      <w:pPr>
        <w:pStyle w:val="19"/>
        <w:widowControl/>
        <w:numPr>
          <w:ilvl w:val="0"/>
          <w:numId w:val="0"/>
        </w:numPr>
        <w:ind w:left="480" w:leftChars="0"/>
        <w:rPr>
          <w:rFonts w:hint="eastAsia" w:ascii="宋体" w:hAnsi="宋体" w:eastAsia="宋体" w:cs="宋体"/>
          <w:b w:val="0"/>
          <w:bCs w:val="0"/>
          <w:sz w:val="24"/>
          <w:szCs w:val="24"/>
        </w:rPr>
      </w:pPr>
      <w:r>
        <w:rPr>
          <w:rFonts w:hint="eastAsia" w:ascii="宋体" w:hAnsi="宋体" w:eastAsia="宋体" w:cs="宋体"/>
          <w:b w:val="0"/>
          <w:bCs w:val="0"/>
          <w:sz w:val="24"/>
          <w:szCs w:val="24"/>
        </w:rPr>
        <w:t>GB/T 150.2《压力容器 第 2 部分：材料》</w:t>
      </w:r>
    </w:p>
    <w:p w14:paraId="5A7BA021">
      <w:pPr>
        <w:pStyle w:val="19"/>
        <w:widowControl/>
        <w:numPr>
          <w:ilvl w:val="0"/>
          <w:numId w:val="0"/>
        </w:numPr>
        <w:ind w:left="480" w:leftChars="0"/>
        <w:rPr>
          <w:rFonts w:hint="eastAsia" w:ascii="宋体" w:hAnsi="宋体" w:eastAsia="宋体" w:cs="宋体"/>
          <w:b w:val="0"/>
          <w:bCs w:val="0"/>
          <w:sz w:val="24"/>
          <w:szCs w:val="24"/>
        </w:rPr>
      </w:pPr>
      <w:r>
        <w:rPr>
          <w:rFonts w:hint="eastAsia" w:ascii="宋体" w:hAnsi="宋体" w:eastAsia="宋体" w:cs="宋体"/>
          <w:b w:val="0"/>
          <w:bCs w:val="0"/>
          <w:sz w:val="24"/>
          <w:szCs w:val="24"/>
        </w:rPr>
        <w:t>GB/T 20801.1《压力管道规范 第 1 部分：工业管道》</w:t>
      </w:r>
    </w:p>
    <w:p w14:paraId="0BDDD6C9">
      <w:pPr>
        <w:pStyle w:val="4"/>
        <w:widowControl/>
        <w:numPr>
          <w:ilvl w:val="0"/>
          <w:numId w:val="8"/>
        </w:numPr>
        <w:ind w:left="0" w:leftChars="0" w:firstLine="0" w:firstLineChars="0"/>
        <w:rPr>
          <w:rFonts w:hint="eastAsia" w:ascii="宋体" w:hAnsi="宋体" w:eastAsia="宋体" w:cs="宋体"/>
          <w:b w:val="0"/>
          <w:bCs w:val="0"/>
          <w:sz w:val="30"/>
          <w:szCs w:val="32"/>
        </w:rPr>
      </w:pPr>
      <w:r>
        <w:rPr>
          <w:rFonts w:hint="eastAsia" w:ascii="宋体" w:hAnsi="宋体" w:eastAsia="宋体" w:cs="宋体"/>
          <w:b w:val="0"/>
          <w:bCs w:val="0"/>
          <w:sz w:val="30"/>
          <w:szCs w:val="32"/>
        </w:rPr>
        <w:t>一般要求</w:t>
      </w:r>
    </w:p>
    <w:p w14:paraId="656E84FF">
      <w:pPr>
        <w:pStyle w:val="19"/>
        <w:widowControl/>
        <w:numPr>
          <w:ilvl w:val="0"/>
          <w:numId w:val="9"/>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供应商应具有相应的生产资质，并按 ISO 9001 质量管理体系要求组织生产，确保产品质量稳定。</w:t>
      </w:r>
    </w:p>
    <w:p w14:paraId="7040CB29">
      <w:pPr>
        <w:pStyle w:val="19"/>
        <w:widowControl/>
        <w:numPr>
          <w:ilvl w:val="0"/>
          <w:numId w:val="9"/>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钢管应为无缝钢管，不允许采用焊接成型工艺。</w:t>
      </w:r>
    </w:p>
    <w:p w14:paraId="4D6F75D4">
      <w:pPr>
        <w:pStyle w:val="19"/>
        <w:widowControl/>
        <w:numPr>
          <w:ilvl w:val="0"/>
          <w:numId w:val="9"/>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若标准之间或标准与本规格书之间出现冲突，以较严格的要求为准。</w:t>
      </w:r>
    </w:p>
    <w:p w14:paraId="4423A5D2">
      <w:pPr>
        <w:pStyle w:val="3"/>
        <w:widowControl/>
        <w:numPr>
          <w:ilvl w:val="0"/>
          <w:numId w:val="7"/>
        </w:numPr>
        <w:topLinePunct w:val="0"/>
        <w:ind w:left="0" w:leftChars="0" w:firstLine="0" w:firstLineChars="0"/>
        <w:rPr>
          <w:rFonts w:hint="eastAsia" w:ascii="宋体" w:hAnsi="宋体" w:eastAsia="宋体" w:cs="宋体"/>
          <w:b/>
          <w:bCs/>
          <w:sz w:val="32"/>
          <w:szCs w:val="44"/>
        </w:rPr>
      </w:pPr>
      <w:r>
        <w:rPr>
          <w:rFonts w:hint="eastAsia" w:ascii="宋体" w:hAnsi="宋体" w:eastAsia="宋体" w:cs="宋体"/>
          <w:b/>
          <w:bCs/>
          <w:sz w:val="32"/>
          <w:szCs w:val="44"/>
        </w:rPr>
        <w:t>化学成分要求</w:t>
      </w:r>
    </w:p>
    <w:p w14:paraId="3C86A92C">
      <w:pPr>
        <w:pStyle w:val="19"/>
        <w:widowControl/>
        <w:numPr>
          <w:ilvl w:val="0"/>
          <w:numId w:val="10"/>
        </w:numPr>
        <w:ind w:left="0" w:leftChars="0" w:firstLine="480" w:firstLineChars="0"/>
        <w:rPr>
          <w:rFonts w:hint="eastAsia" w:ascii="宋体" w:hAnsi="宋体" w:eastAsia="宋体" w:cs="宋体"/>
          <w:b w:val="0"/>
          <w:bCs w:val="0"/>
          <w:color w:val="FF0000"/>
          <w:sz w:val="24"/>
          <w:szCs w:val="24"/>
        </w:rPr>
      </w:pPr>
      <w:r>
        <w:rPr>
          <w:rFonts w:hint="eastAsia" w:ascii="宋体" w:hAnsi="宋体" w:eastAsia="宋体" w:cs="宋体"/>
          <w:b w:val="0"/>
          <w:bCs w:val="0"/>
          <w:color w:val="FF0000"/>
          <w:sz w:val="24"/>
          <w:szCs w:val="24"/>
        </w:rPr>
        <w:t>20#、</w:t>
      </w:r>
      <w:r>
        <w:rPr>
          <w:rFonts w:hint="eastAsia" w:ascii="宋体" w:hAnsi="宋体" w:eastAsia="宋体" w:cs="宋体"/>
          <w:b w:val="0"/>
          <w:bCs w:val="0"/>
          <w:sz w:val="24"/>
          <w:szCs w:val="24"/>
        </w:rPr>
        <w:t>Q355D、Q355E 钢管用钢的</w:t>
      </w:r>
      <w:bookmarkStart w:id="0" w:name="_GoBack"/>
      <w:r>
        <w:rPr>
          <w:rFonts w:hint="eastAsia" w:ascii="宋体" w:hAnsi="宋体" w:eastAsia="宋体" w:cs="宋体"/>
          <w:b w:val="0"/>
          <w:bCs w:val="0"/>
          <w:color w:val="FF0000"/>
          <w:sz w:val="24"/>
          <w:szCs w:val="24"/>
        </w:rPr>
        <w:t>化学成分及力学性能应符合 GB/T 9948 规定。</w:t>
      </w:r>
    </w:p>
    <w:bookmarkEnd w:id="0"/>
    <w:p w14:paraId="65B40EAD">
      <w:pPr>
        <w:pStyle w:val="19"/>
        <w:widowControl/>
        <w:numPr>
          <w:ilvl w:val="0"/>
          <w:numId w:val="10"/>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L245N、L360N 钢管用钢的化学成分及力学性能应符合 GB/T 9711 规定。</w:t>
      </w:r>
    </w:p>
    <w:p w14:paraId="5EE4A2E0">
      <w:pPr>
        <w:pStyle w:val="19"/>
        <w:widowControl/>
        <w:numPr>
          <w:ilvl w:val="0"/>
          <w:numId w:val="10"/>
        </w:numPr>
        <w:ind w:left="0" w:leftChars="0" w:firstLine="480" w:firstLineChars="0"/>
        <w:rPr>
          <w:rFonts w:hint="eastAsia" w:ascii="宋体" w:hAnsi="宋体" w:eastAsia="宋体" w:cs="宋体"/>
          <w:b w:val="0"/>
          <w:bCs w:val="0"/>
          <w:color w:val="FF0000"/>
          <w:sz w:val="24"/>
          <w:szCs w:val="24"/>
        </w:rPr>
      </w:pPr>
      <w:r>
        <w:rPr>
          <w:rFonts w:hint="eastAsia" w:ascii="宋体" w:hAnsi="宋体" w:eastAsia="宋体" w:cs="宋体"/>
          <w:b w:val="0"/>
          <w:bCs w:val="0"/>
          <w:color w:val="FF0000"/>
          <w:sz w:val="24"/>
          <w:szCs w:val="24"/>
        </w:rPr>
        <w:t>45# 钢管用钢的化学成分及力学性能应符合 GB/T 8162 规定。</w:t>
      </w:r>
    </w:p>
    <w:p w14:paraId="71C19376">
      <w:pPr>
        <w:pStyle w:val="3"/>
        <w:widowControl/>
        <w:numPr>
          <w:ilvl w:val="0"/>
          <w:numId w:val="7"/>
        </w:numPr>
        <w:topLinePunct w:val="0"/>
        <w:ind w:left="0" w:leftChars="0" w:firstLine="0" w:firstLineChars="0"/>
        <w:rPr>
          <w:rFonts w:hint="eastAsia" w:ascii="宋体" w:hAnsi="宋体" w:eastAsia="宋体" w:cs="宋体"/>
          <w:b/>
          <w:bCs/>
          <w:sz w:val="32"/>
          <w:szCs w:val="44"/>
        </w:rPr>
      </w:pPr>
      <w:r>
        <w:rPr>
          <w:rFonts w:hint="eastAsia" w:ascii="宋体" w:hAnsi="宋体" w:eastAsia="宋体" w:cs="宋体"/>
          <w:b/>
          <w:bCs/>
          <w:sz w:val="32"/>
          <w:szCs w:val="44"/>
        </w:rPr>
        <w:t>力学性能及使用规定</w:t>
      </w:r>
    </w:p>
    <w:p w14:paraId="28CD8AE0">
      <w:pPr>
        <w:pStyle w:val="19"/>
        <w:widowControl/>
        <w:numPr>
          <w:ilvl w:val="0"/>
          <w:numId w:val="11"/>
        </w:numPr>
        <w:ind w:left="0" w:leftChars="0" w:firstLine="482" w:firstLineChars="0"/>
        <w:rPr>
          <w:rFonts w:hint="eastAsia" w:ascii="宋体" w:hAnsi="宋体" w:eastAsia="宋体" w:cs="宋体"/>
          <w:b w:val="0"/>
          <w:bCs/>
          <w:color w:val="000000"/>
          <w:sz w:val="24"/>
          <w:szCs w:val="24"/>
        </w:rPr>
      </w:pPr>
      <w:r>
        <w:rPr>
          <w:rFonts w:hint="eastAsia" w:ascii="宋体" w:hAnsi="宋体" w:eastAsia="宋体" w:cs="宋体"/>
          <w:b w:val="0"/>
          <w:bCs/>
          <w:i w:val="0"/>
          <w:color w:val="000000"/>
          <w:sz w:val="24"/>
          <w:szCs w:val="24"/>
        </w:rPr>
        <w:t>20#、Q355D、Q355E 钢管规定</w:t>
      </w:r>
    </w:p>
    <w:p w14:paraId="35AF0C6C">
      <w:pPr>
        <w:pStyle w:val="19"/>
        <w:widowControl/>
        <w:numPr>
          <w:ilvl w:val="0"/>
          <w:numId w:val="12"/>
        </w:numPr>
        <w:rPr>
          <w:rFonts w:hint="eastAsia" w:ascii="宋体" w:hAnsi="宋体" w:eastAsia="宋体" w:cs="宋体"/>
          <w:b w:val="0"/>
          <w:bCs w:val="0"/>
          <w:sz w:val="24"/>
          <w:szCs w:val="24"/>
        </w:rPr>
      </w:pPr>
      <w:r>
        <w:rPr>
          <w:rFonts w:hint="eastAsia" w:ascii="宋体" w:hAnsi="宋体" w:eastAsia="宋体" w:cs="宋体"/>
          <w:b w:val="0"/>
          <w:bCs w:val="0"/>
          <w:sz w:val="24"/>
          <w:szCs w:val="24"/>
        </w:rPr>
        <w:t>外径 ≥ 76mm 且壁厚 ≥ 6.5mm 的 10、</w:t>
      </w:r>
      <w:r>
        <w:rPr>
          <w:rFonts w:hint="eastAsia" w:ascii="宋体" w:hAnsi="宋体" w:eastAsia="宋体" w:cs="宋体"/>
          <w:b w:val="0"/>
          <w:bCs w:val="0"/>
          <w:color w:val="FF0000"/>
          <w:sz w:val="24"/>
          <w:szCs w:val="24"/>
        </w:rPr>
        <w:t>20</w:t>
      </w:r>
      <w:r>
        <w:rPr>
          <w:rFonts w:hint="eastAsia" w:ascii="宋体" w:hAnsi="宋体" w:eastAsia="宋体" w:cs="宋体"/>
          <w:b w:val="0"/>
          <w:bCs w:val="0"/>
          <w:sz w:val="24"/>
          <w:szCs w:val="24"/>
        </w:rPr>
        <w:t>、Q345D、Q345E 钢管，需分别在 -10℃</w:t>
      </w:r>
      <w:r>
        <w:rPr>
          <w:rFonts w:hint="eastAsia" w:ascii="宋体" w:hAnsi="宋体" w:eastAsia="宋体" w:cs="宋体"/>
          <w:b w:val="0"/>
          <w:bCs w:val="0"/>
          <w:color w:val="FF0000"/>
          <w:sz w:val="24"/>
          <w:szCs w:val="24"/>
        </w:rPr>
        <w:t>、0℃</w:t>
      </w:r>
      <w:r>
        <w:rPr>
          <w:rFonts w:hint="eastAsia" w:ascii="宋体" w:hAnsi="宋体" w:eastAsia="宋体" w:cs="宋体"/>
          <w:b w:val="0"/>
          <w:bCs w:val="0"/>
          <w:sz w:val="24"/>
          <w:szCs w:val="24"/>
        </w:rPr>
        <w:t>、-20℃、-40℃ 下做纵向冲击试验，3 个标准试样冲击吸收能量平均值分别不低于 40J、</w:t>
      </w:r>
      <w:r>
        <w:rPr>
          <w:rFonts w:hint="eastAsia" w:ascii="宋体" w:hAnsi="宋体" w:eastAsia="宋体" w:cs="宋体"/>
          <w:b w:val="0"/>
          <w:bCs w:val="0"/>
          <w:color w:val="FF0000"/>
          <w:sz w:val="24"/>
          <w:szCs w:val="24"/>
        </w:rPr>
        <w:t>40J</w:t>
      </w:r>
      <w:r>
        <w:rPr>
          <w:rFonts w:hint="eastAsia" w:ascii="宋体" w:hAnsi="宋体" w:eastAsia="宋体" w:cs="宋体"/>
          <w:b w:val="0"/>
          <w:bCs w:val="0"/>
          <w:sz w:val="24"/>
          <w:szCs w:val="24"/>
        </w:rPr>
        <w:t>、41J、47J；试样最低值、小尺寸试样指标按</w:t>
      </w:r>
      <w:r>
        <w:rPr>
          <w:rFonts w:hint="eastAsia" w:ascii="宋体" w:hAnsi="宋体" w:cs="宋体"/>
          <w:b w:val="0"/>
          <w:bCs w:val="0"/>
          <w:sz w:val="24"/>
          <w:szCs w:val="24"/>
          <w:lang w:val="en-US" w:eastAsia="zh-CN"/>
        </w:rPr>
        <w:t>b）、c）</w:t>
      </w:r>
      <w:r>
        <w:rPr>
          <w:rFonts w:hint="eastAsia" w:ascii="宋体" w:hAnsi="宋体" w:eastAsia="宋体" w:cs="宋体"/>
          <w:b w:val="0"/>
          <w:bCs w:val="0"/>
          <w:sz w:val="24"/>
          <w:szCs w:val="24"/>
        </w:rPr>
        <w:t>规定，优先选用大尺寸试样。</w:t>
      </w:r>
    </w:p>
    <w:p w14:paraId="4DC6BCA3">
      <w:pPr>
        <w:pStyle w:val="19"/>
        <w:widowControl/>
        <w:numPr>
          <w:ilvl w:val="0"/>
          <w:numId w:val="12"/>
        </w:numPr>
        <w:rPr>
          <w:rFonts w:hint="eastAsia" w:ascii="宋体" w:hAnsi="宋体" w:eastAsia="宋体" w:cs="宋体"/>
          <w:b w:val="0"/>
          <w:bCs w:val="0"/>
          <w:sz w:val="24"/>
          <w:szCs w:val="24"/>
        </w:rPr>
      </w:pPr>
      <w:r>
        <w:rPr>
          <w:rFonts w:hint="eastAsia" w:ascii="宋体" w:hAnsi="宋体" w:eastAsia="宋体" w:cs="宋体"/>
          <w:b w:val="0"/>
          <w:bCs w:val="0"/>
          <w:sz w:val="24"/>
          <w:szCs w:val="24"/>
        </w:rPr>
        <w:t>夏比V型缺口冲击试样的取样部位和试样方向应符合相应钢材标准的规定并优先选择厚度为 10 mm 的标准试样。冲击试验每组取 3 个标准试样，允许 1 个标准试样的冲击吸收能量数值和侧膨胀值低于表 1 的规定值，但不应低于表 1 规定值的 70%。当冲击试验结果不符合上述规定时，应从钢材的同样部位和同样方向上再取 3 个标准试样进行复验，前后两组 6 个标准试样的冲击吸收能量平均值和侧膨胀值平均值不应低于表 1 的规定值，允许有 2 个标准试样低于规定值，但低于规定值的 70% 的试样只允许有 1 个。</w:t>
      </w:r>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15"/>
        <w:gridCol w:w="3223"/>
        <w:gridCol w:w="2912"/>
      </w:tblGrid>
      <w:tr w14:paraId="6360D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9ECE88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宋体" w:hAnsi="宋体" w:eastAsia="宋体" w:cs="宋体"/>
                <w:b w:val="0"/>
                <w:bCs w:val="0"/>
                <w:kern w:val="2"/>
                <w:sz w:val="21"/>
                <w:szCs w:val="21"/>
                <w:lang w:bidi="ar-SA"/>
              </w:rPr>
            </w:pPr>
            <w:r>
              <w:rPr>
                <w:rFonts w:hint="eastAsia" w:ascii="宋体" w:hAnsi="宋体" w:eastAsia="宋体" w:cs="宋体"/>
                <w:b/>
                <w:bCs/>
                <w:kern w:val="2"/>
                <w:sz w:val="21"/>
                <w:szCs w:val="21"/>
                <w:lang w:val="en-US" w:eastAsia="zh-CN" w:bidi="ar-SA"/>
              </w:rPr>
              <w:t>表1钢材冲击性能指标表</w:t>
            </w:r>
          </w:p>
        </w:tc>
      </w:tr>
      <w:tr w14:paraId="0089A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D7E50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宋体" w:hAnsi="宋体" w:eastAsia="宋体" w:cs="宋体"/>
                <w:b w:val="0"/>
                <w:bCs w:val="0"/>
                <w:kern w:val="2"/>
                <w:sz w:val="21"/>
                <w:szCs w:val="21"/>
                <w:lang w:bidi="ar-SA"/>
              </w:rPr>
            </w:pPr>
            <w:r>
              <w:rPr>
                <w:rFonts w:hint="eastAsia" w:ascii="宋体" w:hAnsi="宋体" w:eastAsia="宋体" w:cs="宋体"/>
                <w:b w:val="0"/>
                <w:bCs w:val="0"/>
                <w:kern w:val="2"/>
                <w:sz w:val="21"/>
                <w:szCs w:val="21"/>
                <w:lang w:val="en-US" w:eastAsia="zh-CN" w:bidi="ar-SA"/>
              </w:rPr>
              <w:t>钢材标准抗拉强度下限值 Rm（MPa）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CD004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宋体" w:hAnsi="宋体" w:eastAsia="宋体" w:cs="宋体"/>
                <w:b w:val="0"/>
                <w:bCs w:val="0"/>
                <w:kern w:val="2"/>
                <w:sz w:val="21"/>
                <w:szCs w:val="21"/>
                <w:lang w:bidi="ar-SA"/>
              </w:rPr>
            </w:pPr>
            <w:r>
              <w:rPr>
                <w:rFonts w:hint="eastAsia" w:ascii="宋体" w:hAnsi="宋体" w:eastAsia="宋体" w:cs="宋体"/>
                <w:b w:val="0"/>
                <w:bCs w:val="0"/>
                <w:kern w:val="2"/>
                <w:sz w:val="21"/>
                <w:szCs w:val="21"/>
                <w:lang w:val="en-US" w:eastAsia="zh-CN" w:bidi="ar-SA"/>
              </w:rPr>
              <w:t>3个标准试样冲击吸收能量平均值 KV2（J）</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C5331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宋体" w:hAnsi="宋体" w:eastAsia="宋体" w:cs="宋体"/>
                <w:b w:val="0"/>
                <w:bCs w:val="0"/>
                <w:kern w:val="2"/>
                <w:sz w:val="21"/>
                <w:szCs w:val="21"/>
                <w:lang w:bidi="ar-SA"/>
              </w:rPr>
            </w:pPr>
            <w:r>
              <w:rPr>
                <w:rFonts w:hint="eastAsia" w:ascii="宋体" w:hAnsi="宋体" w:eastAsia="宋体" w:cs="宋体"/>
                <w:b w:val="0"/>
                <w:bCs w:val="0"/>
                <w:kern w:val="2"/>
                <w:sz w:val="21"/>
                <w:szCs w:val="21"/>
                <w:lang w:val="en-US" w:eastAsia="zh-CN" w:bidi="ar-SA"/>
              </w:rPr>
              <w:t>3个标准试样侧膨胀值平均值 LE（mm）</w:t>
            </w:r>
          </w:p>
        </w:tc>
      </w:tr>
      <w:tr w14:paraId="407BD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E3B13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宋体" w:hAnsi="宋体" w:eastAsia="宋体" w:cs="宋体"/>
                <w:b w:val="0"/>
                <w:bCs w:val="0"/>
                <w:kern w:val="2"/>
                <w:sz w:val="21"/>
                <w:szCs w:val="21"/>
                <w:lang w:bidi="ar-SA"/>
              </w:rPr>
            </w:pPr>
            <w:r>
              <w:rPr>
                <w:rFonts w:hint="eastAsia" w:ascii="宋体" w:hAnsi="宋体" w:eastAsia="宋体" w:cs="宋体"/>
                <w:b w:val="0"/>
                <w:bCs w:val="0"/>
                <w:kern w:val="2"/>
                <w:sz w:val="21"/>
                <w:szCs w:val="21"/>
                <w:lang w:val="en-US" w:eastAsia="zh-CN" w:bidi="ar-SA"/>
              </w:rPr>
              <w:t>≤450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EA924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宋体" w:hAnsi="宋体" w:eastAsia="宋体" w:cs="宋体"/>
                <w:b w:val="0"/>
                <w:bCs w:val="0"/>
                <w:kern w:val="2"/>
                <w:sz w:val="21"/>
                <w:szCs w:val="21"/>
                <w:lang w:bidi="ar-SA"/>
              </w:rPr>
            </w:pPr>
            <w:r>
              <w:rPr>
                <w:rFonts w:hint="eastAsia" w:ascii="宋体" w:hAnsi="宋体" w:eastAsia="宋体" w:cs="宋体"/>
                <w:b w:val="0"/>
                <w:bCs w:val="0"/>
                <w:kern w:val="2"/>
                <w:sz w:val="21"/>
                <w:szCs w:val="21"/>
                <w:lang w:val="en-US" w:eastAsia="zh-CN" w:bidi="ar-SA"/>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90834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宋体" w:hAnsi="宋体" w:eastAsia="宋体" w:cs="宋体"/>
                <w:b w:val="0"/>
                <w:bCs w:val="0"/>
                <w:kern w:val="2"/>
                <w:sz w:val="21"/>
                <w:szCs w:val="21"/>
                <w:lang w:bidi="ar-SA"/>
              </w:rPr>
            </w:pPr>
            <w:r>
              <w:rPr>
                <w:rFonts w:hint="eastAsia" w:ascii="宋体" w:hAnsi="宋体" w:eastAsia="宋体" w:cs="宋体"/>
                <w:b w:val="0"/>
                <w:bCs w:val="0"/>
                <w:kern w:val="2"/>
                <w:sz w:val="21"/>
                <w:szCs w:val="21"/>
                <w:lang w:val="en-US" w:eastAsia="zh-CN" w:bidi="ar-SA"/>
              </w:rPr>
              <w:t>—</w:t>
            </w:r>
          </w:p>
        </w:tc>
      </w:tr>
      <w:tr w14:paraId="0483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D0091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宋体" w:hAnsi="宋体" w:eastAsia="宋体" w:cs="宋体"/>
                <w:b w:val="0"/>
                <w:bCs w:val="0"/>
                <w:kern w:val="2"/>
                <w:sz w:val="21"/>
                <w:szCs w:val="21"/>
                <w:lang w:bidi="ar-SA"/>
              </w:rPr>
            </w:pPr>
            <w:r>
              <w:rPr>
                <w:rFonts w:hint="eastAsia" w:ascii="宋体" w:hAnsi="宋体" w:eastAsia="宋体" w:cs="宋体"/>
                <w:b w:val="0"/>
                <w:bCs w:val="0"/>
                <w:kern w:val="2"/>
                <w:sz w:val="21"/>
                <w:szCs w:val="21"/>
                <w:lang w:val="en-US" w:eastAsia="zh-CN" w:bidi="ar-SA"/>
              </w:rPr>
              <w:t>&gt;450~510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7ECA9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宋体" w:hAnsi="宋体" w:eastAsia="宋体" w:cs="宋体"/>
                <w:b w:val="0"/>
                <w:bCs w:val="0"/>
                <w:kern w:val="2"/>
                <w:sz w:val="21"/>
                <w:szCs w:val="21"/>
                <w:lang w:bidi="ar-SA"/>
              </w:rPr>
            </w:pPr>
            <w:r>
              <w:rPr>
                <w:rFonts w:hint="eastAsia" w:ascii="宋体" w:hAnsi="宋体" w:eastAsia="宋体" w:cs="宋体"/>
                <w:b w:val="0"/>
                <w:bCs w:val="0"/>
                <w:kern w:val="2"/>
                <w:sz w:val="21"/>
                <w:szCs w:val="21"/>
                <w:lang w:val="en-US" w:eastAsia="zh-CN" w:bidi="ar-SA"/>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8B3E3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宋体" w:hAnsi="宋体" w:eastAsia="宋体" w:cs="宋体"/>
                <w:b w:val="0"/>
                <w:bCs w:val="0"/>
                <w:kern w:val="2"/>
                <w:sz w:val="21"/>
                <w:szCs w:val="21"/>
                <w:lang w:bidi="ar-SA"/>
              </w:rPr>
            </w:pPr>
            <w:r>
              <w:rPr>
                <w:rFonts w:hint="eastAsia" w:ascii="宋体" w:hAnsi="宋体" w:eastAsia="宋体" w:cs="宋体"/>
                <w:b w:val="0"/>
                <w:bCs w:val="0"/>
                <w:kern w:val="2"/>
                <w:sz w:val="21"/>
                <w:szCs w:val="21"/>
                <w:lang w:val="en-US" w:eastAsia="zh-CN" w:bidi="ar-SA"/>
              </w:rPr>
              <w:t>—</w:t>
            </w:r>
          </w:p>
        </w:tc>
      </w:tr>
      <w:tr w14:paraId="1551D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3FBAA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宋体" w:hAnsi="宋体" w:eastAsia="宋体" w:cs="宋体"/>
                <w:b w:val="0"/>
                <w:bCs w:val="0"/>
                <w:kern w:val="2"/>
                <w:sz w:val="21"/>
                <w:szCs w:val="21"/>
                <w:lang w:bidi="ar-SA"/>
              </w:rPr>
            </w:pPr>
            <w:r>
              <w:rPr>
                <w:rFonts w:hint="eastAsia" w:ascii="宋体" w:hAnsi="宋体" w:eastAsia="宋体" w:cs="宋体"/>
                <w:b w:val="0"/>
                <w:bCs w:val="0"/>
                <w:kern w:val="2"/>
                <w:sz w:val="21"/>
                <w:szCs w:val="21"/>
                <w:lang w:val="en-US" w:eastAsia="zh-CN" w:bidi="ar-SA"/>
              </w:rPr>
              <w:t>&gt;510~570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2D7F1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宋体" w:hAnsi="宋体" w:eastAsia="宋体" w:cs="宋体"/>
                <w:b w:val="0"/>
                <w:bCs w:val="0"/>
                <w:kern w:val="2"/>
                <w:sz w:val="21"/>
                <w:szCs w:val="21"/>
                <w:lang w:bidi="ar-SA"/>
              </w:rPr>
            </w:pPr>
            <w:r>
              <w:rPr>
                <w:rFonts w:hint="eastAsia" w:ascii="宋体" w:hAnsi="宋体" w:eastAsia="宋体" w:cs="宋体"/>
                <w:b w:val="0"/>
                <w:bCs w:val="0"/>
                <w:kern w:val="2"/>
                <w:sz w:val="21"/>
                <w:szCs w:val="21"/>
                <w:lang w:val="en-US" w:eastAsia="zh-CN" w:bidi="ar-SA"/>
              </w:rPr>
              <w:t>≥31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FC315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宋体" w:hAnsi="宋体" w:eastAsia="宋体" w:cs="宋体"/>
                <w:b w:val="0"/>
                <w:bCs w:val="0"/>
                <w:kern w:val="2"/>
                <w:sz w:val="21"/>
                <w:szCs w:val="21"/>
                <w:lang w:bidi="ar-SA"/>
              </w:rPr>
            </w:pPr>
            <w:r>
              <w:rPr>
                <w:rFonts w:hint="eastAsia" w:ascii="宋体" w:hAnsi="宋体" w:eastAsia="宋体" w:cs="宋体"/>
                <w:b w:val="0"/>
                <w:bCs w:val="0"/>
                <w:kern w:val="2"/>
                <w:sz w:val="21"/>
                <w:szCs w:val="21"/>
                <w:lang w:val="en-US" w:eastAsia="zh-CN" w:bidi="ar-SA"/>
              </w:rPr>
              <w:t>—</w:t>
            </w:r>
          </w:p>
        </w:tc>
      </w:tr>
    </w:tbl>
    <w:p w14:paraId="2F51A881">
      <w:pPr>
        <w:pStyle w:val="19"/>
        <w:widowControl/>
        <w:numPr>
          <w:ilvl w:val="0"/>
          <w:numId w:val="12"/>
        </w:numPr>
        <w:rPr>
          <w:rFonts w:hint="eastAsia" w:ascii="宋体" w:hAnsi="宋体" w:eastAsia="宋体" w:cs="宋体"/>
          <w:b w:val="0"/>
          <w:bCs w:val="0"/>
          <w:sz w:val="24"/>
          <w:szCs w:val="24"/>
        </w:rPr>
      </w:pPr>
      <w:r>
        <w:rPr>
          <w:rFonts w:hint="eastAsia" w:ascii="宋体" w:hAnsi="宋体" w:eastAsia="宋体" w:cs="宋体"/>
          <w:b w:val="0"/>
          <w:bCs w:val="0"/>
          <w:sz w:val="24"/>
          <w:szCs w:val="24"/>
        </w:rPr>
        <w:t>当钢材无法制备标准试样时（钢材厚度小于 11 mm），则应依次制备厚度为 7.5 mm 或 5 mm 的小尺寸试样，冲击吸收能量平均值分别为标准试样冲击吸收能量平均值的 75% 或 50%，单个标准试样冲击吸收能量数值的要求按照 b）的规定。当钢材可制备标准试样时而制备厚度为 7.5 mm 或 5 mm 的小尺寸试样，其冲击试验温度应分别降低 5℃ 和 10℃（冲击试验温度低于 -100℃ 的钢材除外），冲击吸收能量平均值分别为标准试样冲击吸收能量平均值的 75% 或 50%，单个标准试样冲击吸收能量数值的要求应按 b）的规定。</w:t>
      </w:r>
    </w:p>
    <w:p w14:paraId="39F63F5D">
      <w:pPr>
        <w:pStyle w:val="19"/>
        <w:widowControl/>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d</w:t>
      </w:r>
      <w:r>
        <w:rPr>
          <w:rFonts w:hint="eastAsia" w:ascii="宋体" w:hAnsi="宋体" w:eastAsia="宋体" w:cs="宋体"/>
          <w:b w:val="0"/>
          <w:bCs w:val="0"/>
          <w:sz w:val="24"/>
          <w:szCs w:val="24"/>
        </w:rPr>
        <w:t>）经需方同意，20 钢管可做 -20℃ 纵向冲击试验，3 个标准试样冲击吸收能量平均值不低于 40J，此时其使用温度下限为 -20℃。</w:t>
      </w:r>
    </w:p>
    <w:p w14:paraId="64E43AD3">
      <w:pPr>
        <w:pStyle w:val="19"/>
        <w:widowControl/>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e</w:t>
      </w:r>
      <w:r>
        <w:rPr>
          <w:rFonts w:hint="eastAsia" w:ascii="宋体" w:hAnsi="宋体" w:eastAsia="宋体" w:cs="宋体"/>
          <w:b w:val="0"/>
          <w:bCs w:val="0"/>
          <w:sz w:val="24"/>
          <w:szCs w:val="24"/>
        </w:rPr>
        <w:t>）</w:t>
      </w:r>
      <w:r>
        <w:rPr>
          <w:rFonts w:hint="eastAsia" w:ascii="宋体" w:hAnsi="宋体" w:eastAsia="宋体" w:cs="宋体"/>
          <w:b w:val="0"/>
          <w:bCs w:val="0"/>
          <w:color w:val="FF0000"/>
          <w:sz w:val="24"/>
          <w:szCs w:val="24"/>
        </w:rPr>
        <w:t>钢管应逐根做液压试验，经需方同意，也可按 GB/T 7735—2016 逐根做涡流检测替代液压试验，</w:t>
      </w:r>
      <w:r>
        <w:rPr>
          <w:rFonts w:hint="eastAsia" w:ascii="宋体" w:hAnsi="宋体" w:eastAsia="宋体" w:cs="宋体"/>
          <w:b w:val="0"/>
          <w:bCs w:val="0"/>
          <w:sz w:val="24"/>
          <w:szCs w:val="24"/>
        </w:rPr>
        <w:t>对比样管人工缺陷需符合 GB/T 7735—2016 中验收等级 E4H 或 E4、E5 的规定。</w:t>
      </w:r>
    </w:p>
    <w:p w14:paraId="7B119723">
      <w:pPr>
        <w:pStyle w:val="19"/>
        <w:widowControl/>
        <w:numPr>
          <w:ilvl w:val="0"/>
          <w:numId w:val="11"/>
        </w:numPr>
        <w:ind w:left="0" w:leftChars="0" w:firstLine="482" w:firstLineChars="0"/>
        <w:rPr>
          <w:rFonts w:hint="eastAsia" w:ascii="宋体" w:hAnsi="宋体" w:eastAsia="宋体" w:cs="宋体"/>
          <w:b w:val="0"/>
          <w:bCs/>
          <w:color w:val="000000"/>
          <w:sz w:val="24"/>
          <w:szCs w:val="24"/>
        </w:rPr>
      </w:pPr>
      <w:r>
        <w:rPr>
          <w:rFonts w:hint="eastAsia" w:ascii="宋体" w:hAnsi="宋体" w:eastAsia="宋体" w:cs="宋体"/>
          <w:b w:val="0"/>
          <w:bCs/>
          <w:i w:val="0"/>
          <w:color w:val="000000"/>
          <w:sz w:val="24"/>
          <w:szCs w:val="24"/>
        </w:rPr>
        <w:t>L245N、L360N 产品质量等级均为 PSL2，应按 GB/T 20801.1 进行 -20℃ 冲击试验和验收。</w:t>
      </w:r>
    </w:p>
    <w:p w14:paraId="7C43E03D">
      <w:pPr>
        <w:pStyle w:val="19"/>
        <w:widowControl/>
        <w:numPr>
          <w:ilvl w:val="0"/>
          <w:numId w:val="11"/>
        </w:numPr>
        <w:ind w:left="0" w:leftChars="0" w:firstLine="482" w:firstLineChars="0"/>
        <w:rPr>
          <w:rFonts w:hint="eastAsia" w:ascii="宋体" w:hAnsi="宋体" w:eastAsia="宋体" w:cs="宋体"/>
          <w:b w:val="0"/>
          <w:bCs/>
          <w:color w:val="000000"/>
          <w:sz w:val="24"/>
          <w:szCs w:val="24"/>
        </w:rPr>
      </w:pPr>
      <w:r>
        <w:rPr>
          <w:rFonts w:hint="eastAsia" w:ascii="宋体" w:hAnsi="宋体" w:eastAsia="宋体" w:cs="宋体"/>
          <w:b w:val="0"/>
          <w:bCs/>
          <w:i w:val="0"/>
          <w:color w:val="000000"/>
          <w:sz w:val="24"/>
          <w:szCs w:val="24"/>
        </w:rPr>
        <w:t>交货状态</w:t>
      </w:r>
    </w:p>
    <w:p w14:paraId="5D07B18C">
      <w:pPr>
        <w:pStyle w:val="19"/>
        <w:keepNext w:val="0"/>
        <w:keepLines w:val="0"/>
        <w:pageBreakBefore w:val="0"/>
        <w:widowControl/>
        <w:numPr>
          <w:ilvl w:val="0"/>
          <w:numId w:val="13"/>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color w:val="FF0000"/>
          <w:sz w:val="24"/>
          <w:szCs w:val="24"/>
        </w:rPr>
        <w:t>20#、</w:t>
      </w:r>
      <w:r>
        <w:rPr>
          <w:rFonts w:hint="eastAsia" w:ascii="宋体" w:hAnsi="宋体" w:eastAsia="宋体" w:cs="宋体"/>
          <w:b w:val="0"/>
          <w:bCs w:val="0"/>
          <w:sz w:val="24"/>
          <w:szCs w:val="24"/>
        </w:rPr>
        <w:t>Q355D、Q355E</w:t>
      </w:r>
      <w:r>
        <w:rPr>
          <w:rFonts w:hint="eastAsia" w:ascii="宋体" w:hAnsi="宋体" w:eastAsia="宋体" w:cs="宋体"/>
          <w:b w:val="0"/>
          <w:bCs w:val="0"/>
          <w:sz w:val="24"/>
          <w:szCs w:val="24"/>
          <w:lang w:val="en-US" w:eastAsia="zh-CN"/>
        </w:rPr>
        <w:t>钢管</w:t>
      </w:r>
      <w:r>
        <w:rPr>
          <w:rFonts w:hint="eastAsia" w:ascii="宋体" w:hAnsi="宋体" w:eastAsia="宋体" w:cs="宋体"/>
          <w:b w:val="0"/>
          <w:bCs w:val="0"/>
          <w:color w:val="FF0000"/>
          <w:sz w:val="24"/>
          <w:szCs w:val="24"/>
        </w:rPr>
        <w:t>正火状态交货</w:t>
      </w:r>
      <w:r>
        <w:rPr>
          <w:rFonts w:hint="eastAsia" w:ascii="宋体" w:hAnsi="宋体" w:eastAsia="宋体" w:cs="宋体"/>
          <w:b w:val="0"/>
          <w:bCs w:val="0"/>
          <w:sz w:val="24"/>
          <w:szCs w:val="24"/>
        </w:rPr>
        <w:t>。</w:t>
      </w:r>
    </w:p>
    <w:p w14:paraId="6B5A09C8">
      <w:pPr>
        <w:pStyle w:val="19"/>
        <w:keepNext w:val="0"/>
        <w:keepLines w:val="0"/>
        <w:pageBreakBefore w:val="0"/>
        <w:widowControl/>
        <w:numPr>
          <w:ilvl w:val="0"/>
          <w:numId w:val="13"/>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L245N </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 xml:space="preserve"> L360N</w:t>
      </w:r>
      <w:r>
        <w:rPr>
          <w:rFonts w:hint="eastAsia" w:ascii="宋体" w:hAnsi="宋体" w:eastAsia="宋体" w:cs="宋体"/>
          <w:b w:val="0"/>
          <w:bCs w:val="0"/>
          <w:sz w:val="24"/>
          <w:szCs w:val="24"/>
          <w:lang w:val="en-US" w:eastAsia="zh-CN"/>
        </w:rPr>
        <w:t>钢管</w:t>
      </w:r>
      <w:r>
        <w:rPr>
          <w:rFonts w:hint="eastAsia" w:ascii="宋体" w:hAnsi="宋体" w:eastAsia="宋体" w:cs="宋体"/>
          <w:b w:val="0"/>
          <w:bCs w:val="0"/>
          <w:sz w:val="24"/>
          <w:szCs w:val="24"/>
        </w:rPr>
        <w:t>以正火状态交货。</w:t>
      </w:r>
    </w:p>
    <w:p w14:paraId="2FD0E6A2">
      <w:pPr>
        <w:pStyle w:val="19"/>
        <w:keepNext w:val="0"/>
        <w:keepLines w:val="0"/>
        <w:pageBreakBefore w:val="0"/>
        <w:widowControl/>
        <w:numPr>
          <w:ilvl w:val="0"/>
          <w:numId w:val="13"/>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color w:val="FF0000"/>
          <w:sz w:val="24"/>
          <w:szCs w:val="24"/>
          <w:lang w:val="en-US" w:eastAsia="zh-CN"/>
        </w:rPr>
        <w:t>45</w:t>
      </w:r>
      <w:r>
        <w:rPr>
          <w:rFonts w:hint="eastAsia" w:ascii="宋体" w:hAnsi="宋体" w:eastAsia="宋体" w:cs="宋体"/>
          <w:b w:val="0"/>
          <w:bCs w:val="0"/>
          <w:color w:val="FF0000"/>
          <w:sz w:val="24"/>
          <w:szCs w:val="24"/>
        </w:rPr>
        <w:t>#</w:t>
      </w:r>
      <w:r>
        <w:rPr>
          <w:rFonts w:hint="eastAsia" w:ascii="宋体" w:hAnsi="宋体" w:eastAsia="宋体" w:cs="宋体"/>
          <w:b w:val="0"/>
          <w:bCs w:val="0"/>
          <w:color w:val="FF0000"/>
          <w:sz w:val="24"/>
          <w:szCs w:val="24"/>
          <w:lang w:val="en-US" w:eastAsia="zh-CN"/>
        </w:rPr>
        <w:t>钢管</w:t>
      </w:r>
      <w:r>
        <w:rPr>
          <w:rFonts w:hint="eastAsia" w:ascii="宋体" w:hAnsi="宋体" w:eastAsia="宋体" w:cs="宋体"/>
          <w:b w:val="0"/>
          <w:bCs w:val="0"/>
          <w:color w:val="FF0000"/>
          <w:sz w:val="24"/>
          <w:szCs w:val="24"/>
        </w:rPr>
        <w:t>以淬火加高温回火调质状态交货，硬度 HBW200-280。</w:t>
      </w:r>
    </w:p>
    <w:p w14:paraId="3648B4DD">
      <w:pPr>
        <w:pStyle w:val="3"/>
        <w:widowControl/>
        <w:numPr>
          <w:ilvl w:val="0"/>
          <w:numId w:val="7"/>
        </w:numPr>
        <w:topLinePunct w:val="0"/>
        <w:ind w:left="0" w:leftChars="0" w:firstLine="0" w:firstLineChars="0"/>
        <w:rPr>
          <w:rFonts w:hint="eastAsia" w:ascii="宋体" w:hAnsi="宋体" w:eastAsia="宋体" w:cs="宋体"/>
          <w:b/>
          <w:bCs/>
          <w:sz w:val="32"/>
          <w:szCs w:val="44"/>
        </w:rPr>
      </w:pPr>
      <w:r>
        <w:rPr>
          <w:rFonts w:hint="eastAsia" w:ascii="宋体" w:hAnsi="宋体" w:eastAsia="宋体" w:cs="宋体"/>
          <w:b/>
          <w:bCs/>
          <w:sz w:val="32"/>
          <w:szCs w:val="44"/>
        </w:rPr>
        <w:t>尺寸、外形及允许偏差</w:t>
      </w:r>
    </w:p>
    <w:p w14:paraId="67E2675E">
      <w:pPr>
        <w:pStyle w:val="4"/>
        <w:keepNext w:val="0"/>
        <w:keepLines w:val="0"/>
        <w:pageBreakBefore w:val="0"/>
        <w:widowControl/>
        <w:numPr>
          <w:ilvl w:val="0"/>
          <w:numId w:val="14"/>
        </w:numPr>
        <w:kinsoku/>
        <w:wordWrap/>
        <w:overflowPunct/>
        <w:topLinePunct w:val="0"/>
        <w:autoSpaceDE/>
        <w:autoSpaceDN/>
        <w:bidi w:val="0"/>
        <w:adjustRightInd w:val="0"/>
        <w:snapToGrid/>
        <w:spacing w:before="100"/>
        <w:ind w:left="0" w:leftChars="0" w:firstLine="0" w:firstLineChars="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通用规定</w:t>
      </w:r>
    </w:p>
    <w:p w14:paraId="15709B76">
      <w:pPr>
        <w:pStyle w:val="19"/>
        <w:keepNext w:val="0"/>
        <w:keepLines w:val="0"/>
        <w:pageBreakBefore w:val="0"/>
        <w:widowControl/>
        <w:numPr>
          <w:ilvl w:val="0"/>
          <w:numId w:val="0"/>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钢管的公称外径和公称壁厚按供需双方合同约定的规格执行，并应符合 GB/T 17395 的规定。</w:t>
      </w:r>
    </w:p>
    <w:p w14:paraId="5CEB64A3">
      <w:pPr>
        <w:pStyle w:val="4"/>
        <w:keepNext w:val="0"/>
        <w:keepLines w:val="0"/>
        <w:pageBreakBefore w:val="0"/>
        <w:widowControl/>
        <w:numPr>
          <w:ilvl w:val="0"/>
          <w:numId w:val="14"/>
        </w:numPr>
        <w:kinsoku/>
        <w:wordWrap/>
        <w:overflowPunct/>
        <w:topLinePunct w:val="0"/>
        <w:autoSpaceDE/>
        <w:autoSpaceDN/>
        <w:bidi w:val="0"/>
        <w:adjustRightInd w:val="0"/>
        <w:snapToGrid/>
        <w:spacing w:before="100"/>
        <w:ind w:left="0" w:leftChars="0" w:firstLine="0" w:firstLineChars="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长度</w:t>
      </w:r>
    </w:p>
    <w:p w14:paraId="49773D39">
      <w:pPr>
        <w:pStyle w:val="19"/>
        <w:widowControl/>
        <w:numPr>
          <w:ilvl w:val="0"/>
          <w:numId w:val="15"/>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定尺长度：可按供需双方协商的定尺长度交货，定尺长度允许偏差为：长度≤6000mm 时 0～+10mm；长度&gt;6000mm 时 0～+15mm。</w:t>
      </w:r>
    </w:p>
    <w:p w14:paraId="451001B2">
      <w:pPr>
        <w:pStyle w:val="19"/>
        <w:widowControl/>
        <w:numPr>
          <w:ilvl w:val="0"/>
          <w:numId w:val="15"/>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倍尺长度：每个倍尺长度应留出切口余量：D≤159mm 时为 5～10mm；D&gt;159mm 时为 10～15mm。</w:t>
      </w:r>
    </w:p>
    <w:p w14:paraId="7CA8B4BA">
      <w:pPr>
        <w:pStyle w:val="4"/>
        <w:keepNext w:val="0"/>
        <w:keepLines w:val="0"/>
        <w:pageBreakBefore w:val="0"/>
        <w:widowControl/>
        <w:numPr>
          <w:ilvl w:val="0"/>
          <w:numId w:val="14"/>
        </w:numPr>
        <w:kinsoku/>
        <w:wordWrap/>
        <w:overflowPunct/>
        <w:topLinePunct w:val="0"/>
        <w:autoSpaceDE/>
        <w:autoSpaceDN/>
        <w:bidi w:val="0"/>
        <w:adjustRightInd w:val="0"/>
        <w:snapToGrid/>
        <w:spacing w:before="100"/>
        <w:ind w:left="0" w:leftChars="0" w:firstLine="0" w:firstLineChars="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弯曲度</w:t>
      </w:r>
    </w:p>
    <w:p w14:paraId="1C61D274">
      <w:pPr>
        <w:pStyle w:val="19"/>
        <w:widowControl/>
        <w:numPr>
          <w:ilvl w:val="0"/>
          <w:numId w:val="16"/>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钢管每米弯曲度：S≤15mm 时不大于 1.5mm/m；15mm&lt;S≤30mm 时不大于 2.0mm/m；S&gt;30mm 或 D≥351mm 时不大于 3.0mm/m。</w:t>
      </w:r>
    </w:p>
    <w:p w14:paraId="37EAA917">
      <w:pPr>
        <w:pStyle w:val="19"/>
        <w:widowControl/>
        <w:numPr>
          <w:ilvl w:val="0"/>
          <w:numId w:val="16"/>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外径不小于 127mm 的钢管，其全长弯曲度应不大于钢管长度的 0.10%。</w:t>
      </w:r>
    </w:p>
    <w:p w14:paraId="268BCD63">
      <w:pPr>
        <w:pStyle w:val="4"/>
        <w:keepNext w:val="0"/>
        <w:keepLines w:val="0"/>
        <w:pageBreakBefore w:val="0"/>
        <w:widowControl/>
        <w:numPr>
          <w:ilvl w:val="0"/>
          <w:numId w:val="14"/>
        </w:numPr>
        <w:kinsoku/>
        <w:wordWrap/>
        <w:overflowPunct/>
        <w:topLinePunct w:val="0"/>
        <w:autoSpaceDE/>
        <w:autoSpaceDN/>
        <w:bidi w:val="0"/>
        <w:adjustRightInd w:val="0"/>
        <w:snapToGrid/>
        <w:spacing w:before="100"/>
        <w:ind w:left="0" w:leftChars="0" w:firstLine="0" w:firstLineChars="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不圆度与壁厚不均</w:t>
      </w:r>
    </w:p>
    <w:p w14:paraId="2C8CE1B4">
      <w:pPr>
        <w:pStyle w:val="19"/>
        <w:widowControl/>
        <w:rPr>
          <w:rFonts w:hint="eastAsia" w:ascii="宋体" w:hAnsi="宋体" w:eastAsia="宋体" w:cs="宋体"/>
          <w:b w:val="0"/>
          <w:bCs w:val="0"/>
          <w:sz w:val="24"/>
          <w:szCs w:val="24"/>
        </w:rPr>
      </w:pPr>
      <w:r>
        <w:rPr>
          <w:rFonts w:hint="eastAsia" w:ascii="宋体" w:hAnsi="宋体" w:eastAsia="宋体" w:cs="宋体"/>
          <w:b w:val="0"/>
          <w:bCs w:val="0"/>
          <w:sz w:val="24"/>
          <w:szCs w:val="24"/>
        </w:rPr>
        <w:t>钢管的不圆度和壁厚不均应分别不超过外径和壁厚公差的 80%。</w:t>
      </w:r>
    </w:p>
    <w:p w14:paraId="14A28D41">
      <w:pPr>
        <w:pStyle w:val="3"/>
        <w:widowControl/>
        <w:numPr>
          <w:ilvl w:val="0"/>
          <w:numId w:val="7"/>
        </w:numPr>
        <w:topLinePunct w:val="0"/>
        <w:ind w:left="0" w:leftChars="0" w:firstLine="0" w:firstLineChars="0"/>
        <w:rPr>
          <w:rFonts w:hint="eastAsia" w:ascii="宋体" w:hAnsi="宋体" w:eastAsia="宋体" w:cs="宋体"/>
          <w:b/>
          <w:bCs/>
          <w:sz w:val="32"/>
          <w:szCs w:val="44"/>
        </w:rPr>
      </w:pPr>
      <w:r>
        <w:rPr>
          <w:rFonts w:hint="eastAsia" w:ascii="宋体" w:hAnsi="宋体" w:eastAsia="宋体" w:cs="宋体"/>
          <w:b/>
          <w:bCs/>
          <w:sz w:val="32"/>
          <w:szCs w:val="44"/>
        </w:rPr>
        <w:t>表面质量要求</w:t>
      </w:r>
    </w:p>
    <w:p w14:paraId="0FFC38E0">
      <w:pPr>
        <w:pStyle w:val="19"/>
        <w:widowControl/>
        <w:numPr>
          <w:ilvl w:val="0"/>
          <w:numId w:val="17"/>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钢管的内外表面不允许有裂纹、折叠、轧折、离层、发纹和结疤等缺陷。这些缺陷应完全清除，清除处应圆滑过渡，其清理处的实际壁厚不得小于壁厚允许的最小值。</w:t>
      </w:r>
    </w:p>
    <w:p w14:paraId="751C241F">
      <w:pPr>
        <w:pStyle w:val="19"/>
        <w:widowControl/>
        <w:numPr>
          <w:ilvl w:val="0"/>
          <w:numId w:val="17"/>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钢管表面允许存在不超过壁厚负偏差的其他局部缺陷。</w:t>
      </w:r>
    </w:p>
    <w:p w14:paraId="6E4B7727">
      <w:pPr>
        <w:pStyle w:val="19"/>
        <w:widowControl/>
        <w:numPr>
          <w:ilvl w:val="0"/>
          <w:numId w:val="17"/>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钢管两端应切成直角，并清除毛刺；根据需方要求，管端可加工坡口或进行倒角处理。</w:t>
      </w:r>
    </w:p>
    <w:p w14:paraId="64474B0A">
      <w:pPr>
        <w:pStyle w:val="3"/>
        <w:widowControl/>
        <w:numPr>
          <w:ilvl w:val="0"/>
          <w:numId w:val="7"/>
        </w:numPr>
        <w:topLinePunct w:val="0"/>
        <w:ind w:left="0" w:leftChars="0" w:firstLine="0" w:firstLineChars="0"/>
        <w:rPr>
          <w:rFonts w:hint="eastAsia" w:ascii="宋体" w:hAnsi="宋体" w:eastAsia="宋体" w:cs="宋体"/>
          <w:b/>
          <w:bCs/>
          <w:sz w:val="32"/>
          <w:szCs w:val="44"/>
        </w:rPr>
      </w:pPr>
      <w:r>
        <w:rPr>
          <w:rFonts w:hint="eastAsia" w:ascii="宋体" w:hAnsi="宋体" w:eastAsia="宋体" w:cs="宋体"/>
          <w:b/>
          <w:bCs/>
          <w:sz w:val="32"/>
          <w:szCs w:val="44"/>
        </w:rPr>
        <w:t>制造工艺要求</w:t>
      </w:r>
    </w:p>
    <w:p w14:paraId="59FCE224">
      <w:pPr>
        <w:pStyle w:val="19"/>
        <w:widowControl/>
        <w:numPr>
          <w:ilvl w:val="0"/>
          <w:numId w:val="18"/>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钢管应采用无缝生产工艺制造，包括热轧（扩）、冷拔（轧）或热挤压等成型方式。</w:t>
      </w:r>
    </w:p>
    <w:p w14:paraId="532845C8">
      <w:pPr>
        <w:pStyle w:val="19"/>
        <w:widowControl/>
        <w:numPr>
          <w:ilvl w:val="0"/>
          <w:numId w:val="18"/>
        </w:numPr>
        <w:ind w:left="0" w:leftChars="0" w:firstLine="480" w:firstLineChars="0"/>
        <w:rPr>
          <w:rFonts w:hint="eastAsia" w:ascii="宋体" w:hAnsi="宋体" w:eastAsia="宋体" w:cs="宋体"/>
          <w:b w:val="0"/>
          <w:bCs w:val="0"/>
          <w:color w:val="FF0000"/>
          <w:sz w:val="24"/>
          <w:szCs w:val="24"/>
        </w:rPr>
      </w:pPr>
      <w:r>
        <w:rPr>
          <w:rFonts w:hint="eastAsia" w:ascii="宋体" w:hAnsi="宋体" w:eastAsia="宋体" w:cs="宋体"/>
          <w:b w:val="0"/>
          <w:bCs w:val="0"/>
          <w:color w:val="FF0000"/>
          <w:sz w:val="24"/>
          <w:szCs w:val="24"/>
        </w:rPr>
        <w:t>20#</w:t>
      </w:r>
      <w:r>
        <w:rPr>
          <w:rFonts w:hint="eastAsia" w:ascii="宋体" w:hAnsi="宋体" w:eastAsia="宋体" w:cs="宋体"/>
          <w:b w:val="0"/>
          <w:bCs w:val="0"/>
          <w:sz w:val="24"/>
          <w:szCs w:val="24"/>
        </w:rPr>
        <w:t>、Q355D、Q355E 钢管用钢</w:t>
      </w:r>
      <w:r>
        <w:rPr>
          <w:rFonts w:hint="eastAsia" w:ascii="宋体" w:hAnsi="宋体" w:eastAsia="宋体" w:cs="宋体"/>
          <w:b w:val="0"/>
          <w:bCs w:val="0"/>
          <w:color w:val="FF0000"/>
          <w:sz w:val="24"/>
          <w:szCs w:val="24"/>
        </w:rPr>
        <w:t>应采用电弧炉或氧气转炉加炉外精炼并经真空精炼处理，或采用电渣重熔法冶炼。</w:t>
      </w:r>
    </w:p>
    <w:p w14:paraId="7353B397">
      <w:pPr>
        <w:pStyle w:val="19"/>
        <w:widowControl/>
        <w:numPr>
          <w:ilvl w:val="0"/>
          <w:numId w:val="18"/>
        </w:numPr>
        <w:ind w:left="0" w:leftChars="0" w:firstLine="480" w:firstLineChars="0"/>
        <w:rPr>
          <w:rFonts w:hint="eastAsia" w:ascii="宋体" w:hAnsi="宋体" w:eastAsia="宋体" w:cs="宋体"/>
          <w:b w:val="0"/>
          <w:bCs w:val="0"/>
          <w:color w:val="FF0000"/>
          <w:sz w:val="24"/>
          <w:szCs w:val="24"/>
        </w:rPr>
      </w:pPr>
      <w:r>
        <w:rPr>
          <w:rFonts w:hint="eastAsia" w:ascii="宋体" w:hAnsi="宋体" w:eastAsia="宋体" w:cs="宋体"/>
          <w:b w:val="0"/>
          <w:bCs w:val="0"/>
          <w:color w:val="FF0000"/>
          <w:sz w:val="24"/>
          <w:szCs w:val="24"/>
        </w:rPr>
        <w:t>45# 钢管用钢应采用电炉或氧气转炉冶炼加炉外精炼。</w:t>
      </w:r>
    </w:p>
    <w:p w14:paraId="593DBB86">
      <w:pPr>
        <w:pStyle w:val="19"/>
        <w:widowControl/>
        <w:numPr>
          <w:ilvl w:val="0"/>
          <w:numId w:val="18"/>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合金钢管需严格控制冶炼纯净度，采用合理的轧制与热处理工艺，确保组织均匀、性能稳定。</w:t>
      </w:r>
    </w:p>
    <w:p w14:paraId="54C462CF">
      <w:pPr>
        <w:pStyle w:val="19"/>
        <w:widowControl/>
        <w:numPr>
          <w:ilvl w:val="0"/>
          <w:numId w:val="18"/>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钢管制造过程中应设置质量控制点，对管坯质量、加热温度、穿孔、轧制、热处理等关键工序实施有效控制。</w:t>
      </w:r>
    </w:p>
    <w:p w14:paraId="6CD578EC">
      <w:pPr>
        <w:pStyle w:val="3"/>
        <w:widowControl/>
        <w:numPr>
          <w:ilvl w:val="0"/>
          <w:numId w:val="7"/>
        </w:numPr>
        <w:topLinePunct w:val="0"/>
        <w:ind w:left="0" w:leftChars="0" w:firstLine="0" w:firstLineChars="0"/>
        <w:rPr>
          <w:rFonts w:hint="eastAsia" w:ascii="宋体" w:hAnsi="宋体" w:eastAsia="宋体" w:cs="宋体"/>
          <w:b/>
          <w:bCs/>
          <w:sz w:val="32"/>
          <w:szCs w:val="44"/>
        </w:rPr>
      </w:pPr>
      <w:r>
        <w:rPr>
          <w:rFonts w:hint="eastAsia" w:ascii="宋体" w:hAnsi="宋体" w:eastAsia="宋体" w:cs="宋体"/>
          <w:b/>
          <w:bCs/>
          <w:sz w:val="32"/>
          <w:szCs w:val="44"/>
        </w:rPr>
        <w:t>检验与试验</w:t>
      </w:r>
    </w:p>
    <w:p w14:paraId="524A9F47">
      <w:pPr>
        <w:pStyle w:val="19"/>
        <w:widowControl/>
        <w:rPr>
          <w:rFonts w:hint="eastAsia" w:ascii="宋体" w:hAnsi="宋体" w:eastAsia="宋体" w:cs="宋体"/>
          <w:b w:val="0"/>
          <w:bCs w:val="0"/>
          <w:sz w:val="24"/>
          <w:szCs w:val="24"/>
        </w:rPr>
      </w:pPr>
      <w:r>
        <w:rPr>
          <w:rFonts w:hint="eastAsia" w:ascii="宋体" w:hAnsi="宋体" w:eastAsia="宋体" w:cs="宋体"/>
          <w:b w:val="0"/>
          <w:bCs w:val="0"/>
          <w:sz w:val="24"/>
          <w:szCs w:val="24"/>
        </w:rPr>
        <w:t>钢管出厂前应按相应标准逐项进行检验，检验包括化学成分、拉伸试验、冲击试验、无损检测、压扁试验、扩口/卷边试验、水压试验、尺寸与外形、表面质量。</w:t>
      </w:r>
    </w:p>
    <w:p w14:paraId="0229CB6E">
      <w:pPr>
        <w:pStyle w:val="3"/>
        <w:widowControl/>
        <w:numPr>
          <w:ilvl w:val="0"/>
          <w:numId w:val="7"/>
        </w:numPr>
        <w:topLinePunct w:val="0"/>
        <w:ind w:left="0" w:leftChars="0" w:firstLine="0" w:firstLineChars="0"/>
        <w:rPr>
          <w:rFonts w:hint="eastAsia" w:ascii="宋体" w:hAnsi="宋体" w:eastAsia="宋体" w:cs="宋体"/>
          <w:b/>
          <w:bCs/>
          <w:sz w:val="32"/>
          <w:szCs w:val="44"/>
        </w:rPr>
      </w:pPr>
      <w:r>
        <w:rPr>
          <w:rFonts w:hint="eastAsia" w:ascii="宋体" w:hAnsi="宋体" w:eastAsia="宋体" w:cs="宋体"/>
          <w:b/>
          <w:bCs/>
          <w:sz w:val="32"/>
          <w:szCs w:val="44"/>
        </w:rPr>
        <w:t>标志、包装、运输与储存</w:t>
      </w:r>
    </w:p>
    <w:p w14:paraId="3A8DCA8A">
      <w:pPr>
        <w:pStyle w:val="4"/>
        <w:widowControl/>
        <w:numPr>
          <w:ilvl w:val="0"/>
          <w:numId w:val="19"/>
        </w:numPr>
        <w:ind w:left="0" w:leftChars="0" w:firstLine="0" w:firstLineChars="0"/>
        <w:rPr>
          <w:rFonts w:hint="eastAsia" w:ascii="宋体" w:hAnsi="宋体" w:eastAsia="宋体" w:cs="宋体"/>
          <w:b w:val="0"/>
          <w:bCs w:val="0"/>
          <w:sz w:val="30"/>
          <w:szCs w:val="32"/>
        </w:rPr>
      </w:pPr>
      <w:r>
        <w:rPr>
          <w:rFonts w:hint="eastAsia" w:ascii="宋体" w:hAnsi="宋体" w:eastAsia="宋体" w:cs="宋体"/>
          <w:b w:val="0"/>
          <w:bCs w:val="0"/>
          <w:sz w:val="30"/>
          <w:szCs w:val="32"/>
        </w:rPr>
        <w:t>标志</w:t>
      </w:r>
    </w:p>
    <w:p w14:paraId="4064DA03">
      <w:pPr>
        <w:pStyle w:val="19"/>
        <w:widowControl/>
        <w:numPr>
          <w:ilvl w:val="0"/>
          <w:numId w:val="20"/>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每根钢管的外表面应有清晰、牢固的标志，至少应包括：制造厂名称或商标、标准号、钢的牌号、规格（外径×壁厚）、炉批号。</w:t>
      </w:r>
    </w:p>
    <w:p w14:paraId="7CC671AF">
      <w:pPr>
        <w:pStyle w:val="19"/>
        <w:widowControl/>
        <w:numPr>
          <w:ilvl w:val="0"/>
          <w:numId w:val="20"/>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标志可采用喷印、打印或粘贴标签等方式，应保证在正常运输和储存条件下不易脱落、褪色。</w:t>
      </w:r>
    </w:p>
    <w:p w14:paraId="0513045F">
      <w:pPr>
        <w:pStyle w:val="4"/>
        <w:widowControl/>
        <w:numPr>
          <w:ilvl w:val="0"/>
          <w:numId w:val="19"/>
        </w:numPr>
        <w:ind w:left="0" w:leftChars="0" w:firstLine="0" w:firstLineChars="0"/>
        <w:rPr>
          <w:rFonts w:hint="eastAsia" w:ascii="宋体" w:hAnsi="宋体" w:eastAsia="宋体" w:cs="宋体"/>
          <w:b w:val="0"/>
          <w:bCs w:val="0"/>
          <w:sz w:val="30"/>
          <w:szCs w:val="32"/>
        </w:rPr>
      </w:pPr>
      <w:r>
        <w:rPr>
          <w:rFonts w:hint="eastAsia" w:ascii="宋体" w:hAnsi="宋体" w:eastAsia="宋体" w:cs="宋体"/>
          <w:b w:val="0"/>
          <w:bCs w:val="0"/>
          <w:sz w:val="30"/>
          <w:szCs w:val="32"/>
        </w:rPr>
        <w:t>包装</w:t>
      </w:r>
    </w:p>
    <w:p w14:paraId="0CA45E6F">
      <w:pPr>
        <w:pStyle w:val="19"/>
        <w:widowControl/>
        <w:numPr>
          <w:ilvl w:val="0"/>
          <w:numId w:val="21"/>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钢管应按规格分别捆扎包装，捆扎应牢固，防止运输中散捆、变形和表面损伤。</w:t>
      </w:r>
    </w:p>
    <w:p w14:paraId="2891BEFF">
      <w:pPr>
        <w:pStyle w:val="19"/>
        <w:widowControl/>
        <w:numPr>
          <w:ilvl w:val="0"/>
          <w:numId w:val="21"/>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根据需要可采用木箱、框架或防锈包装，合金钢管及高精度管宜采取防腐、防潮措施。</w:t>
      </w:r>
    </w:p>
    <w:p w14:paraId="7D0EAC99">
      <w:pPr>
        <w:pStyle w:val="19"/>
        <w:widowControl/>
        <w:numPr>
          <w:ilvl w:val="0"/>
          <w:numId w:val="21"/>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钢管端部宜加装端盖或防护套，防止异物进入和管端损伤。</w:t>
      </w:r>
    </w:p>
    <w:p w14:paraId="3F4DA48A">
      <w:pPr>
        <w:pStyle w:val="4"/>
        <w:widowControl/>
        <w:numPr>
          <w:ilvl w:val="0"/>
          <w:numId w:val="19"/>
        </w:numPr>
        <w:ind w:left="0" w:leftChars="0" w:firstLine="0" w:firstLineChars="0"/>
        <w:rPr>
          <w:rFonts w:hint="eastAsia" w:ascii="宋体" w:hAnsi="宋体" w:eastAsia="宋体" w:cs="宋体"/>
          <w:b w:val="0"/>
          <w:bCs w:val="0"/>
          <w:sz w:val="30"/>
          <w:szCs w:val="32"/>
        </w:rPr>
      </w:pPr>
      <w:r>
        <w:rPr>
          <w:rFonts w:hint="eastAsia" w:ascii="宋体" w:hAnsi="宋体" w:eastAsia="宋体" w:cs="宋体"/>
          <w:b w:val="0"/>
          <w:bCs w:val="0"/>
          <w:sz w:val="30"/>
          <w:szCs w:val="32"/>
        </w:rPr>
        <w:t>运输与储存</w:t>
      </w:r>
    </w:p>
    <w:p w14:paraId="7F5B8F4D">
      <w:pPr>
        <w:pStyle w:val="19"/>
        <w:widowControl/>
        <w:numPr>
          <w:ilvl w:val="0"/>
          <w:numId w:val="22"/>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钢管运输时应避免剧烈碰撞、抛掷和碾压，防止表面划伤和变形。</w:t>
      </w:r>
    </w:p>
    <w:p w14:paraId="7C18F7BE">
      <w:pPr>
        <w:pStyle w:val="19"/>
        <w:widowControl/>
        <w:numPr>
          <w:ilvl w:val="0"/>
          <w:numId w:val="22"/>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储存时应放置于干燥、通风、无腐蚀性介质的场所，管垛应稳固并留有通风间隙。</w:t>
      </w:r>
    </w:p>
    <w:p w14:paraId="4300BAD2">
      <w:pPr>
        <w:pStyle w:val="19"/>
        <w:widowControl/>
        <w:numPr>
          <w:ilvl w:val="0"/>
          <w:numId w:val="22"/>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长期储存的钢管应采取防锈措施，并定期检查。</w:t>
      </w:r>
    </w:p>
    <w:p w14:paraId="0F6D685D">
      <w:pPr>
        <w:pStyle w:val="3"/>
        <w:widowControl/>
        <w:numPr>
          <w:ilvl w:val="0"/>
          <w:numId w:val="7"/>
        </w:numPr>
        <w:topLinePunct w:val="0"/>
        <w:ind w:left="0" w:leftChars="0" w:firstLine="0" w:firstLineChars="0"/>
        <w:rPr>
          <w:rFonts w:hint="eastAsia" w:ascii="宋体" w:hAnsi="宋体" w:eastAsia="宋体" w:cs="宋体"/>
          <w:b/>
          <w:bCs/>
          <w:sz w:val="32"/>
          <w:szCs w:val="44"/>
        </w:rPr>
      </w:pPr>
      <w:r>
        <w:rPr>
          <w:rFonts w:hint="eastAsia" w:ascii="宋体" w:hAnsi="宋体" w:eastAsia="宋体" w:cs="宋体"/>
          <w:b/>
          <w:bCs/>
          <w:sz w:val="32"/>
          <w:szCs w:val="44"/>
        </w:rPr>
        <w:t>质量证明书</w:t>
      </w:r>
    </w:p>
    <w:p w14:paraId="5C393195">
      <w:pPr>
        <w:pStyle w:val="19"/>
        <w:widowControl/>
        <w:numPr>
          <w:ilvl w:val="0"/>
          <w:numId w:val="23"/>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供应商应在发货时随货提供质量证明书，其内容应包括：</w:t>
      </w:r>
    </w:p>
    <w:p w14:paraId="0DECAC81">
      <w:pPr>
        <w:pStyle w:val="19"/>
        <w:widowControl/>
        <w:numPr>
          <w:ilvl w:val="0"/>
          <w:numId w:val="0"/>
        </w:numPr>
        <w:ind w:left="480" w:leftChars="0"/>
        <w:rPr>
          <w:rFonts w:hint="eastAsia" w:ascii="宋体" w:hAnsi="宋体" w:eastAsia="宋体" w:cs="宋体"/>
          <w:b w:val="0"/>
          <w:bCs w:val="0"/>
          <w:sz w:val="24"/>
          <w:szCs w:val="24"/>
        </w:rPr>
      </w:pPr>
      <w:r>
        <w:rPr>
          <w:rFonts w:hint="eastAsia" w:ascii="宋体" w:hAnsi="宋体" w:eastAsia="宋体" w:cs="宋体"/>
          <w:b w:val="0"/>
          <w:bCs w:val="0"/>
          <w:sz w:val="24"/>
          <w:szCs w:val="24"/>
        </w:rPr>
        <w:t>材料标准号、牌号；材料生产单位名称（或厂标）及检验印鉴标志；合同号；需方名称；炉（批）号；规格；标准规定的化学成分和化学成分的熔炼分析或成品分析结果；钢材标准或技术条件保证的规定力学性能、工艺性能及其他性能要求和实测数据或合格情况；供货状态；供货合同或协议规定的其他项目。</w:t>
      </w:r>
    </w:p>
    <w:p w14:paraId="6F8C4423">
      <w:pPr>
        <w:pStyle w:val="19"/>
        <w:widowControl/>
        <w:numPr>
          <w:ilvl w:val="0"/>
          <w:numId w:val="23"/>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质量证明书应加盖制造厂质量检验章及供货商公章，并保证与实物一致、可追溯。</w:t>
      </w:r>
    </w:p>
    <w:p w14:paraId="52998A77">
      <w:pPr>
        <w:pStyle w:val="3"/>
        <w:widowControl/>
        <w:numPr>
          <w:ilvl w:val="0"/>
          <w:numId w:val="7"/>
        </w:numPr>
        <w:topLinePunct w:val="0"/>
        <w:ind w:left="0" w:leftChars="0" w:firstLine="0" w:firstLineChars="0"/>
        <w:rPr>
          <w:rFonts w:hint="eastAsia" w:ascii="宋体" w:hAnsi="宋体" w:eastAsia="宋体" w:cs="宋体"/>
          <w:b/>
          <w:bCs/>
          <w:sz w:val="32"/>
          <w:szCs w:val="44"/>
        </w:rPr>
      </w:pPr>
      <w:r>
        <w:rPr>
          <w:rFonts w:hint="eastAsia" w:ascii="宋体" w:hAnsi="宋体" w:eastAsia="宋体" w:cs="宋体"/>
          <w:b/>
          <w:bCs/>
          <w:sz w:val="32"/>
          <w:szCs w:val="44"/>
        </w:rPr>
        <w:t>验收规则</w:t>
      </w:r>
    </w:p>
    <w:p w14:paraId="089ED57A">
      <w:pPr>
        <w:pStyle w:val="19"/>
        <w:widowControl/>
        <w:numPr>
          <w:ilvl w:val="0"/>
          <w:numId w:val="24"/>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需方有权按本规格书及相应标准对到货钢管进行抽检验收，检验项目包括外观、尺寸、标志及质量证明书核验。</w:t>
      </w:r>
    </w:p>
    <w:p w14:paraId="03B0FDB2">
      <w:pPr>
        <w:pStyle w:val="19"/>
        <w:widowControl/>
        <w:numPr>
          <w:ilvl w:val="0"/>
          <w:numId w:val="24"/>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对关键承压或重要用途钢管，需方可委托具有资质的第三方检测机构进行复检。</w:t>
      </w:r>
    </w:p>
    <w:p w14:paraId="362AD66B">
      <w:pPr>
        <w:pStyle w:val="19"/>
        <w:widowControl/>
        <w:numPr>
          <w:ilvl w:val="0"/>
          <w:numId w:val="24"/>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钢管标志、外观、尺寸不符合要求或质量证明书与实物不符的，需方有权拒收。</w:t>
      </w:r>
    </w:p>
    <w:p w14:paraId="080AABE7">
      <w:pPr>
        <w:pStyle w:val="19"/>
        <w:widowControl/>
        <w:numPr>
          <w:ilvl w:val="0"/>
          <w:numId w:val="24"/>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若到货钢管检验不合格，需方应及时通知供方，并协商处理；存在质量争议时，以具有资质的第三方检测机构复验结果为最终判定依据。</w:t>
      </w:r>
    </w:p>
    <w:p w14:paraId="281528F5">
      <w:pPr>
        <w:pStyle w:val="19"/>
        <w:widowControl/>
        <w:numPr>
          <w:ilvl w:val="0"/>
          <w:numId w:val="24"/>
        </w:numPr>
        <w:ind w:left="0" w:leftChars="0" w:firstLine="480"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对合格产品，需方应按规定办理入库手续，妥善保管。</w:t>
      </w:r>
    </w:p>
    <w:p w14:paraId="7E59F448">
      <w:pPr>
        <w:pStyle w:val="19"/>
        <w:widowControl/>
        <w:numPr>
          <w:ilvl w:val="0"/>
          <w:numId w:val="0"/>
        </w:numPr>
        <w:rPr>
          <w:rFonts w:hint="eastAsia" w:ascii="宋体" w:hAnsi="宋体" w:eastAsia="宋体" w:cs="宋体"/>
          <w:b w:val="0"/>
          <w:bCs w:val="0"/>
          <w:sz w:val="24"/>
          <w:szCs w:val="24"/>
        </w:rPr>
      </w:pPr>
    </w:p>
    <w:p w14:paraId="421E8D1F">
      <w:pPr>
        <w:pStyle w:val="19"/>
        <w:widowControl/>
        <w:numPr>
          <w:ilvl w:val="0"/>
          <w:numId w:val="0"/>
        </w:numPr>
        <w:ind w:firstLine="4080" w:firstLineChars="1700"/>
        <w:rPr>
          <w:rFonts w:hint="default"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w:t>
      </w:r>
    </w:p>
    <w:sectPr>
      <w:footerReference r:id="rId5" w:type="default"/>
      <w:pgSz w:w="12240" w:h="15840"/>
      <w:pgMar w:top="1440" w:right="1803" w:bottom="1440" w:left="1803"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ourier">
    <w:panose1 w:val="02060409020205020404"/>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DA769">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5575D0">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75575D0">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B3A8BD"/>
    <w:multiLevelType w:val="singleLevel"/>
    <w:tmpl w:val="81B3A8BD"/>
    <w:lvl w:ilvl="0" w:tentative="0">
      <w:start w:val="1"/>
      <w:numFmt w:val="decimal"/>
      <w:suff w:val="space"/>
      <w:lvlText w:val="%1."/>
      <w:lvlJc w:val="left"/>
      <w:pPr>
        <w:ind w:left="0" w:firstLine="480"/>
      </w:pPr>
      <w:rPr>
        <w:rFonts w:hint="default"/>
      </w:rPr>
    </w:lvl>
  </w:abstractNum>
  <w:abstractNum w:abstractNumId="1">
    <w:nsid w:val="A3111A85"/>
    <w:multiLevelType w:val="singleLevel"/>
    <w:tmpl w:val="A3111A85"/>
    <w:lvl w:ilvl="0" w:tentative="0">
      <w:start w:val="1"/>
      <w:numFmt w:val="decimal"/>
      <w:suff w:val="space"/>
      <w:lvlText w:val="%1."/>
      <w:lvlJc w:val="left"/>
      <w:pPr>
        <w:ind w:left="0" w:firstLine="480"/>
      </w:pPr>
      <w:rPr>
        <w:rFonts w:hint="default"/>
      </w:rPr>
    </w:lvl>
  </w:abstractNum>
  <w:abstractNum w:abstractNumId="2">
    <w:nsid w:val="B03FC650"/>
    <w:multiLevelType w:val="singleLevel"/>
    <w:tmpl w:val="B03FC650"/>
    <w:lvl w:ilvl="0" w:tentative="0">
      <w:start w:val="1"/>
      <w:numFmt w:val="lowerLetter"/>
      <w:lvlText w:val="%1."/>
      <w:lvlJc w:val="left"/>
      <w:pPr>
        <w:ind w:left="425" w:hanging="425"/>
      </w:pPr>
      <w:rPr>
        <w:rFonts w:hint="default"/>
      </w:rPr>
    </w:lvl>
  </w:abstractNum>
  <w:abstractNum w:abstractNumId="3">
    <w:nsid w:val="B625E6C4"/>
    <w:multiLevelType w:val="singleLevel"/>
    <w:tmpl w:val="B625E6C4"/>
    <w:lvl w:ilvl="0" w:tentative="0">
      <w:start w:val="1"/>
      <w:numFmt w:val="decimal"/>
      <w:suff w:val="space"/>
      <w:lvlText w:val="%1."/>
      <w:lvlJc w:val="left"/>
      <w:pPr>
        <w:ind w:left="0" w:firstLine="480"/>
      </w:pPr>
      <w:rPr>
        <w:rFonts w:hint="default"/>
      </w:rPr>
    </w:lvl>
  </w:abstractNum>
  <w:abstractNum w:abstractNumId="4">
    <w:nsid w:val="DD538B92"/>
    <w:multiLevelType w:val="singleLevel"/>
    <w:tmpl w:val="DD538B92"/>
    <w:lvl w:ilvl="0" w:tentative="0">
      <w:start w:val="1"/>
      <w:numFmt w:val="decimal"/>
      <w:suff w:val="space"/>
      <w:lvlText w:val="3.%1"/>
      <w:lvlJc w:val="left"/>
      <w:pPr>
        <w:ind w:left="0" w:firstLine="482"/>
      </w:pPr>
      <w:rPr>
        <w:rFonts w:hint="default"/>
      </w:rPr>
    </w:lvl>
  </w:abstractNum>
  <w:abstractNum w:abstractNumId="5">
    <w:nsid w:val="DD56EC5C"/>
    <w:multiLevelType w:val="singleLevel"/>
    <w:tmpl w:val="DD56EC5C"/>
    <w:lvl w:ilvl="0" w:tentative="0">
      <w:start w:val="1"/>
      <w:numFmt w:val="decimal"/>
      <w:suff w:val="space"/>
      <w:lvlText w:val="%1."/>
      <w:lvlJc w:val="left"/>
      <w:pPr>
        <w:ind w:left="0" w:firstLine="480"/>
      </w:pPr>
      <w:rPr>
        <w:rFonts w:hint="default"/>
      </w:rPr>
    </w:lvl>
  </w:abstractNum>
  <w:abstractNum w:abstractNumId="6">
    <w:nsid w:val="E1D8FAB7"/>
    <w:multiLevelType w:val="singleLevel"/>
    <w:tmpl w:val="E1D8FAB7"/>
    <w:lvl w:ilvl="0" w:tentative="0">
      <w:start w:val="1"/>
      <w:numFmt w:val="decimal"/>
      <w:suff w:val="space"/>
      <w:lvlText w:val="8.%1"/>
      <w:lvlJc w:val="left"/>
      <w:pPr>
        <w:ind w:left="0" w:firstLine="0"/>
      </w:pPr>
      <w:rPr>
        <w:rFonts w:hint="default"/>
      </w:rPr>
    </w:lvl>
  </w:abstractNum>
  <w:abstractNum w:abstractNumId="7">
    <w:nsid w:val="F98DE6FA"/>
    <w:multiLevelType w:val="singleLevel"/>
    <w:tmpl w:val="F98DE6FA"/>
    <w:lvl w:ilvl="0" w:tentative="0">
      <w:start w:val="1"/>
      <w:numFmt w:val="decimal"/>
      <w:suff w:val="space"/>
      <w:lvlText w:val="%1."/>
      <w:lvlJc w:val="left"/>
      <w:pPr>
        <w:ind w:left="0" w:firstLine="480"/>
      </w:pPr>
      <w:rPr>
        <w:rFonts w:hint="default"/>
      </w:rPr>
    </w:lvl>
  </w:abstractNum>
  <w:abstractNum w:abstractNumId="8">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9">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10">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11">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12">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13">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14">
    <w:nsid w:val="0071731E"/>
    <w:multiLevelType w:val="singleLevel"/>
    <w:tmpl w:val="0071731E"/>
    <w:lvl w:ilvl="0" w:tentative="0">
      <w:start w:val="1"/>
      <w:numFmt w:val="decimal"/>
      <w:suff w:val="space"/>
      <w:lvlText w:val="%1."/>
      <w:lvlJc w:val="left"/>
      <w:pPr>
        <w:ind w:left="0" w:firstLine="480"/>
      </w:pPr>
      <w:rPr>
        <w:rFonts w:hint="default"/>
      </w:rPr>
    </w:lvl>
  </w:abstractNum>
  <w:abstractNum w:abstractNumId="15">
    <w:nsid w:val="05C97356"/>
    <w:multiLevelType w:val="singleLevel"/>
    <w:tmpl w:val="05C97356"/>
    <w:lvl w:ilvl="0" w:tentative="0">
      <w:start w:val="1"/>
      <w:numFmt w:val="decimal"/>
      <w:suff w:val="space"/>
      <w:lvlText w:val="1.%1"/>
      <w:lvlJc w:val="left"/>
      <w:pPr>
        <w:ind w:left="0" w:firstLine="0"/>
      </w:pPr>
      <w:rPr>
        <w:rFonts w:hint="default"/>
      </w:rPr>
    </w:lvl>
  </w:abstractNum>
  <w:abstractNum w:abstractNumId="16">
    <w:nsid w:val="0A809DC2"/>
    <w:multiLevelType w:val="singleLevel"/>
    <w:tmpl w:val="0A809DC2"/>
    <w:lvl w:ilvl="0" w:tentative="0">
      <w:start w:val="1"/>
      <w:numFmt w:val="lowerLetter"/>
      <w:suff w:val="nothing"/>
      <w:lvlText w:val="%1）"/>
      <w:lvlJc w:val="left"/>
    </w:lvl>
  </w:abstractNum>
  <w:abstractNum w:abstractNumId="17">
    <w:nsid w:val="0FF99D42"/>
    <w:multiLevelType w:val="singleLevel"/>
    <w:tmpl w:val="0FF99D42"/>
    <w:lvl w:ilvl="0" w:tentative="0">
      <w:start w:val="1"/>
      <w:numFmt w:val="decimal"/>
      <w:suff w:val="space"/>
      <w:lvlText w:val="%1."/>
      <w:lvlJc w:val="left"/>
      <w:pPr>
        <w:ind w:left="0" w:firstLine="480"/>
      </w:pPr>
      <w:rPr>
        <w:rFonts w:hint="default"/>
      </w:rPr>
    </w:lvl>
  </w:abstractNum>
  <w:abstractNum w:abstractNumId="18">
    <w:nsid w:val="18677040"/>
    <w:multiLevelType w:val="singleLevel"/>
    <w:tmpl w:val="18677040"/>
    <w:lvl w:ilvl="0" w:tentative="0">
      <w:start w:val="1"/>
      <w:numFmt w:val="decimal"/>
      <w:suff w:val="space"/>
      <w:lvlText w:val="%1."/>
      <w:lvlJc w:val="left"/>
      <w:pPr>
        <w:ind w:left="0" w:firstLine="480"/>
      </w:pPr>
      <w:rPr>
        <w:rFonts w:hint="default"/>
      </w:rPr>
    </w:lvl>
  </w:abstractNum>
  <w:abstractNum w:abstractNumId="19">
    <w:nsid w:val="226DC707"/>
    <w:multiLevelType w:val="singleLevel"/>
    <w:tmpl w:val="226DC707"/>
    <w:lvl w:ilvl="0" w:tentative="0">
      <w:start w:val="1"/>
      <w:numFmt w:val="decimal"/>
      <w:suff w:val="space"/>
      <w:lvlText w:val="%1."/>
      <w:lvlJc w:val="left"/>
      <w:pPr>
        <w:ind w:left="0" w:firstLine="480"/>
      </w:pPr>
      <w:rPr>
        <w:rFonts w:hint="default"/>
      </w:rPr>
    </w:lvl>
  </w:abstractNum>
  <w:abstractNum w:abstractNumId="20">
    <w:nsid w:val="42D02990"/>
    <w:multiLevelType w:val="singleLevel"/>
    <w:tmpl w:val="42D02990"/>
    <w:lvl w:ilvl="0" w:tentative="0">
      <w:start w:val="1"/>
      <w:numFmt w:val="decimal"/>
      <w:suff w:val="space"/>
      <w:lvlText w:val="4.%1"/>
      <w:lvlJc w:val="left"/>
      <w:pPr>
        <w:ind w:left="0" w:firstLine="0"/>
      </w:pPr>
      <w:rPr>
        <w:rFonts w:hint="default"/>
      </w:rPr>
    </w:lvl>
  </w:abstractNum>
  <w:abstractNum w:abstractNumId="21">
    <w:nsid w:val="4B2C3A8D"/>
    <w:multiLevelType w:val="singleLevel"/>
    <w:tmpl w:val="4B2C3A8D"/>
    <w:lvl w:ilvl="0" w:tentative="0">
      <w:start w:val="1"/>
      <w:numFmt w:val="chineseCounting"/>
      <w:suff w:val="nothing"/>
      <w:lvlText w:val="%1、"/>
      <w:lvlJc w:val="left"/>
      <w:pPr>
        <w:ind w:left="0" w:firstLine="0"/>
      </w:pPr>
      <w:rPr>
        <w:rFonts w:hint="eastAsia"/>
      </w:rPr>
    </w:lvl>
  </w:abstractNum>
  <w:abstractNum w:abstractNumId="22">
    <w:nsid w:val="56A90D19"/>
    <w:multiLevelType w:val="singleLevel"/>
    <w:tmpl w:val="56A90D19"/>
    <w:lvl w:ilvl="0" w:tentative="0">
      <w:start w:val="1"/>
      <w:numFmt w:val="decimal"/>
      <w:suff w:val="space"/>
      <w:lvlText w:val="%1."/>
      <w:lvlJc w:val="left"/>
      <w:pPr>
        <w:ind w:left="0" w:firstLine="480"/>
      </w:pPr>
      <w:rPr>
        <w:rFonts w:hint="default"/>
      </w:rPr>
    </w:lvl>
  </w:abstractNum>
  <w:abstractNum w:abstractNumId="23">
    <w:nsid w:val="72D78914"/>
    <w:multiLevelType w:val="singleLevel"/>
    <w:tmpl w:val="72D78914"/>
    <w:lvl w:ilvl="0" w:tentative="0">
      <w:start w:val="1"/>
      <w:numFmt w:val="decimal"/>
      <w:suff w:val="space"/>
      <w:lvlText w:val="%1."/>
      <w:lvlJc w:val="left"/>
      <w:pPr>
        <w:ind w:left="0" w:firstLine="480"/>
      </w:pPr>
      <w:rPr>
        <w:rFonts w:hint="default"/>
      </w:rPr>
    </w:lvl>
  </w:abstractNum>
  <w:num w:numId="1">
    <w:abstractNumId w:val="9"/>
  </w:num>
  <w:num w:numId="2">
    <w:abstractNumId w:val="12"/>
  </w:num>
  <w:num w:numId="3">
    <w:abstractNumId w:val="13"/>
  </w:num>
  <w:num w:numId="4">
    <w:abstractNumId w:val="10"/>
  </w:num>
  <w:num w:numId="5">
    <w:abstractNumId w:val="8"/>
  </w:num>
  <w:num w:numId="6">
    <w:abstractNumId w:val="11"/>
  </w:num>
  <w:num w:numId="7">
    <w:abstractNumId w:val="21"/>
  </w:num>
  <w:num w:numId="8">
    <w:abstractNumId w:val="15"/>
  </w:num>
  <w:num w:numId="9">
    <w:abstractNumId w:val="22"/>
  </w:num>
  <w:num w:numId="10">
    <w:abstractNumId w:val="5"/>
  </w:num>
  <w:num w:numId="11">
    <w:abstractNumId w:val="4"/>
  </w:num>
  <w:num w:numId="12">
    <w:abstractNumId w:val="16"/>
  </w:num>
  <w:num w:numId="13">
    <w:abstractNumId w:val="2"/>
  </w:num>
  <w:num w:numId="14">
    <w:abstractNumId w:val="20"/>
  </w:num>
  <w:num w:numId="15">
    <w:abstractNumId w:val="1"/>
  </w:num>
  <w:num w:numId="16">
    <w:abstractNumId w:val="18"/>
  </w:num>
  <w:num w:numId="17">
    <w:abstractNumId w:val="23"/>
  </w:num>
  <w:num w:numId="18">
    <w:abstractNumId w:val="19"/>
  </w:num>
  <w:num w:numId="19">
    <w:abstractNumId w:val="6"/>
  </w:num>
  <w:num w:numId="20">
    <w:abstractNumId w:val="7"/>
  </w:num>
  <w:num w:numId="21">
    <w:abstractNumId w:val="3"/>
  </w:num>
  <w:num w:numId="22">
    <w:abstractNumId w:val="0"/>
  </w:num>
  <w:num w:numId="23">
    <w:abstractNumId w:val="14"/>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B9140B"/>
    <w:rsid w:val="00CB0664"/>
    <w:rsid w:val="00FC693F"/>
    <w:rsid w:val="05E64439"/>
    <w:rsid w:val="06866CA6"/>
    <w:rsid w:val="091A7535"/>
    <w:rsid w:val="09864BCA"/>
    <w:rsid w:val="0A722320"/>
    <w:rsid w:val="0B642CE9"/>
    <w:rsid w:val="102B64CB"/>
    <w:rsid w:val="11C95F9C"/>
    <w:rsid w:val="12FB2185"/>
    <w:rsid w:val="1A135C6A"/>
    <w:rsid w:val="1BC51582"/>
    <w:rsid w:val="1F843502"/>
    <w:rsid w:val="22687CA3"/>
    <w:rsid w:val="2535534B"/>
    <w:rsid w:val="2F0361F1"/>
    <w:rsid w:val="44C164DB"/>
    <w:rsid w:val="45DD7344"/>
    <w:rsid w:val="477F048D"/>
    <w:rsid w:val="4ABE4879"/>
    <w:rsid w:val="4AF34F14"/>
    <w:rsid w:val="4E772300"/>
    <w:rsid w:val="547104EC"/>
    <w:rsid w:val="582D4D00"/>
    <w:rsid w:val="5AB23AAB"/>
    <w:rsid w:val="5BD7618C"/>
    <w:rsid w:val="60CA62C0"/>
    <w:rsid w:val="685F19E3"/>
    <w:rsid w:val="735C36EF"/>
    <w:rsid w:val="784F737E"/>
    <w:rsid w:val="7A7F1A7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qFormat="1"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qFormat="1" w:unhideWhenUsed="0" w:uiPriority="62" w:semiHidden="0" w:name="Light Grid Accent 2"/>
    <w:lsdException w:unhideWhenUsed="0" w:uiPriority="63" w:semiHidden="0" w:name="Medium Shading 1 Accent 2"/>
    <w:lsdException w:qFormat="1"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next w:val="1"/>
    <w:link w:val="139"/>
    <w:qFormat/>
    <w:uiPriority w:val="9"/>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4">
    <w:name w:val="heading 2"/>
    <w:next w:val="1"/>
    <w:unhideWhenUsed/>
    <w:qFormat/>
    <w:uiPriority w:val="9"/>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5">
    <w:name w:val="heading 3"/>
    <w:next w:val="1"/>
    <w:unhideWhenUsed/>
    <w:qFormat/>
    <w:uiPriority w:val="9"/>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6">
    <w:name w:val="heading 4"/>
    <w:next w:val="1"/>
    <w:link w:val="151"/>
    <w:semiHidden/>
    <w:unhideWhenUsed/>
    <w:qFormat/>
    <w:uiPriority w:val="9"/>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7">
    <w:name w:val="heading 5"/>
    <w:next w:val="1"/>
    <w:link w:val="152"/>
    <w:semiHidden/>
    <w:unhideWhenUsed/>
    <w:qFormat/>
    <w:uiPriority w:val="9"/>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8">
    <w:name w:val="heading 6"/>
    <w:next w:val="1"/>
    <w:link w:val="153"/>
    <w:semiHidden/>
    <w:unhideWhenUsed/>
    <w:qFormat/>
    <w:uiPriority w:val="9"/>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9">
    <w:name w:val="heading 7"/>
    <w:next w:val="1"/>
    <w:link w:val="154"/>
    <w:semiHidden/>
    <w:unhideWhenUsed/>
    <w:qFormat/>
    <w:uiPriority w:val="9"/>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10">
    <w:name w:val="heading 8"/>
    <w:next w:val="1"/>
    <w:link w:val="155"/>
    <w:semiHidden/>
    <w:unhideWhenUsed/>
    <w:qFormat/>
    <w:uiPriority w:val="9"/>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1">
    <w:name w:val="heading 9"/>
    <w:next w:val="1"/>
    <w:link w:val="156"/>
    <w:semiHidden/>
    <w:unhideWhenUsed/>
    <w:qFormat/>
    <w:uiPriority w:val="9"/>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874CB"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unhideWhenUsed/>
    <w:qFormat/>
    <w:uiPriority w:val="99"/>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next w:val="1"/>
    <w:qFormat/>
    <w:uiPriority w:val="11"/>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uiPriority w:val="99"/>
    <w:pPr>
      <w:spacing w:after="120"/>
      <w:ind w:left="1080"/>
      <w:contextualSpacing/>
    </w:pPr>
  </w:style>
  <w:style w:type="paragraph" w:styleId="32">
    <w:name w:val="Title"/>
    <w:next w:val="1"/>
    <w:qFormat/>
    <w:uiPriority w:val="1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2E54A1" w:themeColor="accent1" w:themeShade="BF"/>
    </w:rPr>
    <w:tblPr>
      <w:tblBorders>
        <w:top w:val="single" w:color="4874CB" w:themeColor="accent1" w:sz="8" w:space="0"/>
        <w:bottom w:val="single" w:color="4874CB"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la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left w:val="nil"/>
          <w:right w:val="nil"/>
          <w:insideH w:val="nil"/>
          <w:insideV w:val="nil"/>
        </w:tcBorders>
        <w:shd w:val="clear" w:color="auto" w:fill="D1DCF2" w:themeFill="accent1" w:themeFillTint="3F"/>
      </w:tcPr>
    </w:tblStylePr>
  </w:style>
  <w:style w:type="table" w:styleId="37">
    <w:name w:val="Light Shading Accent 2"/>
    <w:basedOn w:val="33"/>
    <w:uiPriority w:val="60"/>
    <w:pPr>
      <w:spacing w:after="0" w:line="240" w:lineRule="auto"/>
    </w:pPr>
    <w:rPr>
      <w:color w:val="C65F10" w:themeColor="accent2" w:themeShade="BF"/>
    </w:rPr>
    <w:tblPr>
      <w:tblBorders>
        <w:top w:val="single" w:color="EE822F" w:themeColor="accent2" w:sz="8" w:space="0"/>
        <w:bottom w:val="single" w:color="EE822F"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la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left w:val="nil"/>
          <w:right w:val="nil"/>
          <w:insideH w:val="nil"/>
          <w:insideV w:val="nil"/>
        </w:tcBorders>
        <w:shd w:val="clear" w:color="auto" w:fill="FAE0CB" w:themeFill="accent2" w:themeFillTint="3F"/>
      </w:tcPr>
    </w:tblStylePr>
  </w:style>
  <w:style w:type="table" w:styleId="38">
    <w:name w:val="Light Shading Accent 3"/>
    <w:basedOn w:val="33"/>
    <w:uiPriority w:val="60"/>
    <w:pPr>
      <w:spacing w:after="0" w:line="240" w:lineRule="auto"/>
    </w:pPr>
    <w:rPr>
      <w:color w:val="B68C02" w:themeColor="accent3" w:themeShade="BF"/>
    </w:rPr>
    <w:tblPr>
      <w:tblBorders>
        <w:top w:val="single" w:color="F2BA02" w:themeColor="accent3" w:sz="8" w:space="0"/>
        <w:bottom w:val="single" w:color="F2BA02"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la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left w:val="nil"/>
          <w:right w:val="nil"/>
          <w:insideH w:val="nil"/>
          <w:insideV w:val="nil"/>
        </w:tcBorders>
        <w:shd w:val="clear" w:color="auto" w:fill="FEEFBD" w:themeFill="accent3" w:themeFillTint="3F"/>
      </w:tcPr>
    </w:tblStylePr>
  </w:style>
  <w:style w:type="table" w:styleId="39">
    <w:name w:val="Light Shading Accent 4"/>
    <w:basedOn w:val="33"/>
    <w:uiPriority w:val="60"/>
    <w:pPr>
      <w:spacing w:after="0" w:line="240" w:lineRule="auto"/>
    </w:pPr>
    <w:rPr>
      <w:color w:val="588E32" w:themeColor="accent4" w:themeShade="BF"/>
    </w:rPr>
    <w:tblPr>
      <w:tblBorders>
        <w:top w:val="single" w:color="75BD42" w:themeColor="accent4" w:sz="8" w:space="0"/>
        <w:bottom w:val="single" w:color="75BD4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la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left w:val="nil"/>
          <w:right w:val="nil"/>
          <w:insideH w:val="nil"/>
          <w:insideV w:val="nil"/>
        </w:tcBorders>
        <w:shd w:val="clear" w:color="auto" w:fill="DCEED0" w:themeFill="accent4" w:themeFillTint="3F"/>
      </w:tcPr>
    </w:tblStylePr>
  </w:style>
  <w:style w:type="table" w:styleId="40">
    <w:name w:val="Light Shading Accent 5"/>
    <w:basedOn w:val="33"/>
    <w:uiPriority w:val="60"/>
    <w:pPr>
      <w:spacing w:after="0" w:line="240" w:lineRule="auto"/>
    </w:pPr>
    <w:rPr>
      <w:color w:val="249087" w:themeColor="accent5" w:themeShade="BF"/>
    </w:rPr>
    <w:tblPr>
      <w:tblBorders>
        <w:top w:val="single" w:color="30C0B4" w:themeColor="accent5" w:sz="8" w:space="0"/>
        <w:bottom w:val="single" w:color="30C0B4"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la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left w:val="nil"/>
          <w:right w:val="nil"/>
          <w:insideH w:val="nil"/>
          <w:insideV w:val="nil"/>
        </w:tcBorders>
        <w:shd w:val="clear" w:color="auto" w:fill="C9F1EE" w:themeFill="accent5" w:themeFillTint="3F"/>
      </w:tcPr>
    </w:tblStylePr>
  </w:style>
  <w:style w:type="table" w:styleId="41">
    <w:name w:val="Light Shading Accent 6"/>
    <w:basedOn w:val="33"/>
    <w:qFormat/>
    <w:uiPriority w:val="60"/>
    <w:pPr>
      <w:spacing w:after="0" w:line="240" w:lineRule="auto"/>
    </w:pPr>
    <w:rPr>
      <w:color w:val="C81D31" w:themeColor="accent6" w:themeShade="BF"/>
    </w:rPr>
    <w:tblPr>
      <w:tblBorders>
        <w:top w:val="single" w:color="E54C5E" w:themeColor="accent6" w:sz="8" w:space="0"/>
        <w:bottom w:val="single" w:color="E54C5E"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la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left w:val="nil"/>
          <w:right w:val="nil"/>
          <w:insideH w:val="nil"/>
          <w:insideV w:val="nil"/>
        </w:tcBorders>
        <w:shd w:val="clear" w:color="auto" w:fill="F8D2D7"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874CB" w:themeFill="accent1"/>
      </w:tcPr>
    </w:tblStylePr>
    <w:tblStylePr w:type="lastRow">
      <w:pPr>
        <w:spacing w:before="0" w:after="0" w:line="240" w:lineRule="auto"/>
      </w:pPr>
      <w:rPr>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tcBorders>
      </w:tcPr>
    </w:tblStylePr>
    <w:tblStylePr w:type="firstCol">
      <w:rPr>
        <w:b/>
        <w:bCs/>
      </w:rPr>
    </w:tblStylePr>
    <w:tblStylePr w:type="lastCol">
      <w:rPr>
        <w:b/>
        <w:bCs/>
      </w:r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style>
  <w:style w:type="table" w:styleId="44">
    <w:name w:val="Light List Accent 2"/>
    <w:basedOn w:val="33"/>
    <w:uiPriority w:val="61"/>
    <w:pPr>
      <w:spacing w:after="0" w:line="240" w:lineRule="auto"/>
    </w:p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EE822F" w:themeFill="accent2"/>
      </w:tcPr>
    </w:tblStylePr>
    <w:tblStylePr w:type="lastRow">
      <w:pPr>
        <w:spacing w:before="0" w:after="0" w:line="240" w:lineRule="auto"/>
      </w:pPr>
      <w:rPr>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tcBorders>
      </w:tcPr>
    </w:tblStylePr>
    <w:tblStylePr w:type="firstCol">
      <w:rPr>
        <w:b/>
        <w:bCs/>
      </w:rPr>
    </w:tblStylePr>
    <w:tblStylePr w:type="lastCol">
      <w:rPr>
        <w:b/>
        <w:bCs/>
      </w:r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style>
  <w:style w:type="table" w:styleId="45">
    <w:name w:val="Light List Accent 3"/>
    <w:basedOn w:val="33"/>
    <w:uiPriority w:val="61"/>
    <w:pPr>
      <w:spacing w:after="0" w:line="240" w:lineRule="auto"/>
    </w:p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2BA02" w:themeFill="accent3"/>
      </w:tcPr>
    </w:tblStylePr>
    <w:tblStylePr w:type="lastRow">
      <w:pPr>
        <w:spacing w:before="0" w:after="0" w:line="240" w:lineRule="auto"/>
      </w:pPr>
      <w:rPr>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tcBorders>
      </w:tcPr>
    </w:tblStylePr>
    <w:tblStylePr w:type="firstCol">
      <w:rPr>
        <w:b/>
        <w:bCs/>
      </w:rPr>
    </w:tblStylePr>
    <w:tblStylePr w:type="lastCol">
      <w:rPr>
        <w:b/>
        <w:bCs/>
      </w:r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style>
  <w:style w:type="table" w:styleId="46">
    <w:name w:val="Light List Accent 4"/>
    <w:basedOn w:val="33"/>
    <w:qFormat/>
    <w:uiPriority w:val="61"/>
    <w:pPr>
      <w:spacing w:after="0" w:line="240" w:lineRule="auto"/>
    </w:p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75BD42" w:themeFill="accent4"/>
      </w:tcPr>
    </w:tblStylePr>
    <w:tblStylePr w:type="lastRow">
      <w:pPr>
        <w:spacing w:before="0" w:after="0" w:line="240" w:lineRule="auto"/>
      </w:pPr>
      <w:rPr>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tcBorders>
      </w:tcPr>
    </w:tblStylePr>
    <w:tblStylePr w:type="firstCol">
      <w:rPr>
        <w:b/>
        <w:bCs/>
      </w:rPr>
    </w:tblStylePr>
    <w:tblStylePr w:type="lastCol">
      <w:rPr>
        <w:b/>
        <w:bCs/>
      </w:r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style>
  <w:style w:type="table" w:styleId="47">
    <w:name w:val="Light List Accent 5"/>
    <w:basedOn w:val="33"/>
    <w:uiPriority w:val="61"/>
    <w:pPr>
      <w:spacing w:after="0" w:line="240" w:lineRule="auto"/>
    </w:p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30C0B4" w:themeFill="accent5"/>
      </w:tcPr>
    </w:tblStylePr>
    <w:tblStylePr w:type="lastRow">
      <w:pPr>
        <w:spacing w:before="0" w:after="0" w:line="240" w:lineRule="auto"/>
      </w:pPr>
      <w:rPr>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tcBorders>
      </w:tcPr>
    </w:tblStylePr>
    <w:tblStylePr w:type="firstCol">
      <w:rPr>
        <w:b/>
        <w:bCs/>
      </w:rPr>
    </w:tblStylePr>
    <w:tblStylePr w:type="lastCol">
      <w:rPr>
        <w:b/>
        <w:bCs/>
      </w:r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style>
  <w:style w:type="table" w:styleId="48">
    <w:name w:val="Light List Accent 6"/>
    <w:basedOn w:val="33"/>
    <w:uiPriority w:val="61"/>
    <w:pPr>
      <w:spacing w:after="0" w:line="240" w:lineRule="auto"/>
    </w:p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E54C5E" w:themeFill="accent6"/>
      </w:tcPr>
    </w:tblStylePr>
    <w:tblStylePr w:type="lastRow">
      <w:pPr>
        <w:spacing w:before="0" w:after="0" w:line="240" w:lineRule="auto"/>
      </w:pPr>
      <w:rPr>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tcBorders>
      </w:tcPr>
    </w:tblStylePr>
    <w:tblStylePr w:type="firstCol">
      <w:rPr>
        <w:b/>
        <w:bCs/>
      </w:rPr>
    </w:tblStylePr>
    <w:tblStylePr w:type="lastCol">
      <w:rPr>
        <w:b/>
        <w:bCs/>
      </w:r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18" w:space="0"/>
          <w:right w:val="single" w:color="4874CB"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shd w:val="clear" w:color="auto" w:fill="D1DCF2" w:themeFill="accent1" w:themeFillTint="3F"/>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shd w:val="clear" w:color="auto" w:fill="D1DCF2" w:themeFill="accent1" w:themeFillTint="3F"/>
      </w:tcPr>
    </w:tblStylePr>
    <w:tblStylePr w:type="band2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18" w:space="0"/>
          <w:right w:val="single" w:color="EE822F"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shd w:val="clear" w:color="auto" w:fill="FAE0CB" w:themeFill="accent2" w:themeFillTint="3F"/>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shd w:val="clear" w:color="auto" w:fill="FAE0CB" w:themeFill="accent2" w:themeFillTint="3F"/>
      </w:tcPr>
    </w:tblStylePr>
    <w:tblStylePr w:type="band2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18" w:space="0"/>
          <w:right w:val="single" w:color="F2BA02"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shd w:val="clear" w:color="auto" w:fill="FEEFBD" w:themeFill="accent3" w:themeFillTint="3F"/>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shd w:val="clear" w:color="auto" w:fill="FEEFBD" w:themeFill="accent3" w:themeFillTint="3F"/>
      </w:tcPr>
    </w:tblStylePr>
    <w:tblStylePr w:type="band2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18" w:space="0"/>
          <w:right w:val="single" w:color="75BD4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shd w:val="clear" w:color="auto" w:fill="DCEED0" w:themeFill="accent4" w:themeFillTint="3F"/>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shd w:val="clear" w:color="auto" w:fill="DCEED0" w:themeFill="accent4" w:themeFillTint="3F"/>
      </w:tcPr>
    </w:tblStylePr>
    <w:tblStylePr w:type="band2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18" w:space="0"/>
          <w:right w:val="single" w:color="30C0B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shd w:val="clear" w:color="auto" w:fill="C9F1EE" w:themeFill="accent5" w:themeFillTint="3F"/>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shd w:val="clear" w:color="auto" w:fill="C9F1EE" w:themeFill="accent5" w:themeFillTint="3F"/>
      </w:tcPr>
    </w:tblStylePr>
    <w:tblStylePr w:type="band2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18" w:space="0"/>
          <w:right w:val="single" w:color="E54C5E"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shd w:val="clear" w:color="auto" w:fill="F8D2D7" w:themeFill="accent6" w:themeFillTint="3F"/>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shd w:val="clear" w:color="auto" w:fill="F8D2D7" w:themeFill="accent6" w:themeFillTint="3F"/>
      </w:tcPr>
    </w:tblStylePr>
    <w:tblStylePr w:type="band2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shd w:val="clear" w:color="auto" w:fill="4874CB" w:themeFill="accent1"/>
      </w:tcPr>
    </w:tblStylePr>
    <w:tblStylePr w:type="lastRow">
      <w:pPr>
        <w:spacing w:before="0" w:after="0" w:line="240" w:lineRule="auto"/>
      </w:pPr>
      <w:rPr>
        <w:b/>
        <w:bCs/>
      </w:rPr>
      <w:tblPr/>
      <w:tcPr>
        <w:tcBorders>
          <w:top w:val="double" w:color="7596D8" w:themeColor="accent1" w:themeTint="BF" w:sz="6"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1DCF2" w:themeFill="accent1" w:themeFillTint="3F"/>
      </w:tcPr>
    </w:tblStylePr>
    <w:tblStylePr w:type="band1Horz">
      <w:tblPr/>
      <w:tcPr>
        <w:tcBorders>
          <w:insideH w:val="nil"/>
          <w:insideV w:val="nil"/>
        </w:tcBorders>
        <w:shd w:val="clear" w:color="auto" w:fill="D1DCF2"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shd w:val="clear" w:color="auto" w:fill="EE822F" w:themeFill="accent2"/>
      </w:tcPr>
    </w:tblStylePr>
    <w:tblStylePr w:type="lastRow">
      <w:pPr>
        <w:spacing w:before="0" w:after="0" w:line="240" w:lineRule="auto"/>
      </w:pPr>
      <w:rPr>
        <w:b/>
        <w:bCs/>
      </w:rPr>
      <w:tblPr/>
      <w:tcPr>
        <w:tcBorders>
          <w:top w:val="double" w:color="F2A163" w:themeColor="accent2" w:themeTint="BF" w:sz="6"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E0CB" w:themeFill="accent2" w:themeFillTint="3F"/>
      </w:tcPr>
    </w:tblStylePr>
    <w:tblStylePr w:type="band1Horz">
      <w:tblPr/>
      <w:tcPr>
        <w:tcBorders>
          <w:insideH w:val="nil"/>
          <w:insideV w:val="nil"/>
        </w:tcBorders>
        <w:shd w:val="clear" w:color="auto" w:fill="FAE0CB"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shd w:val="clear" w:color="auto" w:fill="F2BA02" w:themeFill="accent3"/>
      </w:tcPr>
    </w:tblStylePr>
    <w:tblStylePr w:type="lastRow">
      <w:pPr>
        <w:spacing w:before="0" w:after="0" w:line="240" w:lineRule="auto"/>
      </w:pPr>
      <w:rPr>
        <w:b/>
        <w:bCs/>
      </w:rPr>
      <w:tblPr/>
      <w:tcPr>
        <w:tcBorders>
          <w:top w:val="double" w:color="FDCF39" w:themeColor="accent3" w:themeTint="BF" w:sz="6"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EEFBD" w:themeFill="accent3" w:themeFillTint="3F"/>
      </w:tcPr>
    </w:tblStylePr>
    <w:tblStylePr w:type="band1Horz">
      <w:tblPr/>
      <w:tcPr>
        <w:tcBorders>
          <w:insideH w:val="nil"/>
          <w:insideV w:val="nil"/>
        </w:tcBorders>
        <w:shd w:val="clear" w:color="auto" w:fill="FEEFBD"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shd w:val="clear" w:color="auto" w:fill="75BD42" w:themeFill="accent4"/>
      </w:tcPr>
    </w:tblStylePr>
    <w:tblStylePr w:type="lastRow">
      <w:pPr>
        <w:spacing w:before="0" w:after="0" w:line="240" w:lineRule="auto"/>
      </w:pPr>
      <w:rPr>
        <w:b/>
        <w:bCs/>
      </w:rPr>
      <w:tblPr/>
      <w:tcPr>
        <w:tcBorders>
          <w:top w:val="double" w:color="97CD71" w:themeColor="accent4" w:themeTint="BF" w:sz="6"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CEED0" w:themeFill="accent4" w:themeFillTint="3F"/>
      </w:tcPr>
    </w:tblStylePr>
    <w:tblStylePr w:type="band1Horz">
      <w:tblPr/>
      <w:tcPr>
        <w:tcBorders>
          <w:insideH w:val="nil"/>
          <w:insideV w:val="nil"/>
        </w:tcBorders>
        <w:shd w:val="clear" w:color="auto" w:fill="DCEED0"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shd w:val="clear" w:color="auto" w:fill="30C0B4" w:themeFill="accent5"/>
      </w:tcPr>
    </w:tblStylePr>
    <w:tblStylePr w:type="lastRow">
      <w:pPr>
        <w:spacing w:before="0" w:after="0" w:line="240" w:lineRule="auto"/>
      </w:pPr>
      <w:rPr>
        <w:b/>
        <w:bCs/>
      </w:rPr>
      <w:tblPr/>
      <w:tcPr>
        <w:tcBorders>
          <w:top w:val="double" w:color="5DD6CC" w:themeColor="accent5" w:themeTint="BF" w:sz="6"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C9F1EE" w:themeFill="accent5" w:themeFillTint="3F"/>
      </w:tcPr>
    </w:tblStylePr>
    <w:tblStylePr w:type="band1Horz">
      <w:tblPr/>
      <w:tcPr>
        <w:tcBorders>
          <w:insideH w:val="nil"/>
          <w:insideV w:val="nil"/>
        </w:tcBorders>
        <w:shd w:val="clear" w:color="auto" w:fill="C9F1EE"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shd w:val="clear" w:color="auto" w:fill="E54C5E" w:themeFill="accent6"/>
      </w:tcPr>
    </w:tblStylePr>
    <w:tblStylePr w:type="lastRow">
      <w:pPr>
        <w:spacing w:before="0" w:after="0" w:line="240" w:lineRule="auto"/>
      </w:pPr>
      <w:rPr>
        <w:b/>
        <w:bCs/>
      </w:rPr>
      <w:tblPr/>
      <w:tcPr>
        <w:tcBorders>
          <w:top w:val="double" w:color="EB7886" w:themeColor="accent6" w:themeTint="BF" w:sz="6"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8D2D7" w:themeFill="accent6" w:themeFillTint="3F"/>
      </w:tcPr>
    </w:tblStylePr>
    <w:tblStylePr w:type="band1Horz">
      <w:tblPr/>
      <w:tcPr>
        <w:tcBorders>
          <w:insideH w:val="nil"/>
          <w:insideV w:val="nil"/>
        </w:tcBorders>
        <w:shd w:val="clear" w:color="auto" w:fill="F8D2D7"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874C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874C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874C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E822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E822F"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E822F"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2BA02"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2BA02"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2BA02"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5BD4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5BD4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5BD4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30C0B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30C0B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30C0B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54C5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54C5E"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54C5E"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874CB" w:themeColor="accent1" w:sz="8" w:space="0"/>
        <w:bottom w:val="single" w:color="4874CB"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874CB" w:themeColor="accent1" w:sz="8" w:space="0"/>
        </w:tcBorders>
      </w:tcPr>
    </w:tblStylePr>
    <w:tblStylePr w:type="lastRow">
      <w:rPr>
        <w:b/>
        <w:bCs/>
        <w:color w:val="44546A" w:themeColor="text2"/>
        <w14:textFill>
          <w14:solidFill>
            <w14:schemeClr w14:val="tx2"/>
          </w14:solidFill>
        </w14:textFill>
      </w:rPr>
      <w:tblPr/>
      <w:tcPr>
        <w:tcBorders>
          <w:top w:val="single" w:color="4874CB" w:themeColor="accent1" w:sz="8" w:space="0"/>
          <w:bottom w:val="single" w:color="4874CB" w:themeColor="accent1" w:sz="8" w:space="0"/>
        </w:tcBorders>
      </w:tcPr>
    </w:tblStylePr>
    <w:tblStylePr w:type="firstCol">
      <w:rPr>
        <w:b/>
        <w:bCs/>
      </w:rPr>
    </w:tblStylePr>
    <w:tblStylePr w:type="lastCol">
      <w:rPr>
        <w:b/>
        <w:bCs/>
      </w:rPr>
      <w:tblPr/>
      <w:tcPr>
        <w:tcBorders>
          <w:top w:val="single" w:color="4874CB" w:themeColor="accent1" w:sz="8" w:space="0"/>
          <w:bottom w:val="single" w:color="4874CB" w:themeColor="accent1" w:sz="8" w:space="0"/>
        </w:tcBorders>
      </w:tcPr>
    </w:tblStylePr>
    <w:tblStylePr w:type="band1Vert">
      <w:tblPr/>
      <w:tcPr>
        <w:shd w:val="clear" w:color="auto" w:fill="D1DCF2" w:themeFill="accent1" w:themeFillTint="3F"/>
      </w:tcPr>
    </w:tblStylePr>
    <w:tblStylePr w:type="band1Horz">
      <w:tblPr/>
      <w:tcPr>
        <w:shd w:val="clear" w:color="auto" w:fill="D1DCF2"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EE822F" w:themeColor="accent2" w:sz="8" w:space="0"/>
        <w:bottom w:val="single" w:color="EE822F"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E822F" w:themeColor="accent2" w:sz="8" w:space="0"/>
        </w:tcBorders>
      </w:tcPr>
    </w:tblStylePr>
    <w:tblStylePr w:type="lastRow">
      <w:rPr>
        <w:b/>
        <w:bCs/>
        <w:color w:val="44546A" w:themeColor="text2"/>
        <w14:textFill>
          <w14:solidFill>
            <w14:schemeClr w14:val="tx2"/>
          </w14:solidFill>
        </w14:textFill>
      </w:rPr>
      <w:tblPr/>
      <w:tcPr>
        <w:tcBorders>
          <w:top w:val="single" w:color="EE822F" w:themeColor="accent2" w:sz="8" w:space="0"/>
          <w:bottom w:val="single" w:color="EE822F" w:themeColor="accent2" w:sz="8" w:space="0"/>
        </w:tcBorders>
      </w:tcPr>
    </w:tblStylePr>
    <w:tblStylePr w:type="firstCol">
      <w:rPr>
        <w:b/>
        <w:bCs/>
      </w:rPr>
    </w:tblStylePr>
    <w:tblStylePr w:type="lastCol">
      <w:rPr>
        <w:b/>
        <w:bCs/>
      </w:rPr>
      <w:tblPr/>
      <w:tcPr>
        <w:tcBorders>
          <w:top w:val="single" w:color="EE822F" w:themeColor="accent2" w:sz="8" w:space="0"/>
          <w:bottom w:val="single" w:color="EE822F" w:themeColor="accent2" w:sz="8" w:space="0"/>
        </w:tcBorders>
      </w:tcPr>
    </w:tblStylePr>
    <w:tblStylePr w:type="band1Vert">
      <w:tblPr/>
      <w:tcPr>
        <w:shd w:val="clear" w:color="auto" w:fill="FAE0CB" w:themeFill="accent2" w:themeFillTint="3F"/>
      </w:tcPr>
    </w:tblStylePr>
    <w:tblStylePr w:type="band1Horz">
      <w:tblPr/>
      <w:tcPr>
        <w:shd w:val="clear" w:color="auto" w:fill="FAE0CB"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F2BA02" w:themeColor="accent3" w:sz="8" w:space="0"/>
        <w:bottom w:val="single" w:color="F2BA02"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2BA02" w:themeColor="accent3" w:sz="8" w:space="0"/>
        </w:tcBorders>
      </w:tcPr>
    </w:tblStylePr>
    <w:tblStylePr w:type="lastRow">
      <w:rPr>
        <w:b/>
        <w:bCs/>
        <w:color w:val="44546A" w:themeColor="text2"/>
        <w14:textFill>
          <w14:solidFill>
            <w14:schemeClr w14:val="tx2"/>
          </w14:solidFill>
        </w14:textFill>
      </w:rPr>
      <w:tblPr/>
      <w:tcPr>
        <w:tcBorders>
          <w:top w:val="single" w:color="F2BA02" w:themeColor="accent3" w:sz="8" w:space="0"/>
          <w:bottom w:val="single" w:color="F2BA02" w:themeColor="accent3" w:sz="8" w:space="0"/>
        </w:tcBorders>
      </w:tcPr>
    </w:tblStylePr>
    <w:tblStylePr w:type="firstCol">
      <w:rPr>
        <w:b/>
        <w:bCs/>
      </w:rPr>
    </w:tblStylePr>
    <w:tblStylePr w:type="lastCol">
      <w:rPr>
        <w:b/>
        <w:bCs/>
      </w:rPr>
      <w:tblPr/>
      <w:tcPr>
        <w:tcBorders>
          <w:top w:val="single" w:color="F2BA02" w:themeColor="accent3" w:sz="8" w:space="0"/>
          <w:bottom w:val="single" w:color="F2BA02" w:themeColor="accent3" w:sz="8" w:space="0"/>
        </w:tcBorders>
      </w:tcPr>
    </w:tblStylePr>
    <w:tblStylePr w:type="band1Vert">
      <w:tblPr/>
      <w:tcPr>
        <w:shd w:val="clear" w:color="auto" w:fill="FEEFBD" w:themeFill="accent3" w:themeFillTint="3F"/>
      </w:tcPr>
    </w:tblStylePr>
    <w:tblStylePr w:type="band1Horz">
      <w:tblPr/>
      <w:tcPr>
        <w:shd w:val="clear" w:color="auto" w:fill="FEEFBD"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75BD42" w:themeColor="accent4" w:sz="8" w:space="0"/>
        <w:bottom w:val="single" w:color="75BD4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5BD42" w:themeColor="accent4" w:sz="8" w:space="0"/>
        </w:tcBorders>
      </w:tcPr>
    </w:tblStylePr>
    <w:tblStylePr w:type="lastRow">
      <w:rPr>
        <w:b/>
        <w:bCs/>
        <w:color w:val="44546A" w:themeColor="text2"/>
        <w14:textFill>
          <w14:solidFill>
            <w14:schemeClr w14:val="tx2"/>
          </w14:solidFill>
        </w14:textFill>
      </w:rPr>
      <w:tblPr/>
      <w:tcPr>
        <w:tcBorders>
          <w:top w:val="single" w:color="75BD42" w:themeColor="accent4" w:sz="8" w:space="0"/>
          <w:bottom w:val="single" w:color="75BD42" w:themeColor="accent4" w:sz="8" w:space="0"/>
        </w:tcBorders>
      </w:tcPr>
    </w:tblStylePr>
    <w:tblStylePr w:type="firstCol">
      <w:rPr>
        <w:b/>
        <w:bCs/>
      </w:rPr>
    </w:tblStylePr>
    <w:tblStylePr w:type="lastCol">
      <w:rPr>
        <w:b/>
        <w:bCs/>
      </w:rPr>
      <w:tblPr/>
      <w:tcPr>
        <w:tcBorders>
          <w:top w:val="single" w:color="75BD42" w:themeColor="accent4" w:sz="8" w:space="0"/>
          <w:bottom w:val="single" w:color="75BD42" w:themeColor="accent4" w:sz="8" w:space="0"/>
        </w:tcBorders>
      </w:tcPr>
    </w:tblStylePr>
    <w:tblStylePr w:type="band1Vert">
      <w:tblPr/>
      <w:tcPr>
        <w:shd w:val="clear" w:color="auto" w:fill="DCEED0" w:themeFill="accent4" w:themeFillTint="3F"/>
      </w:tcPr>
    </w:tblStylePr>
    <w:tblStylePr w:type="band1Horz">
      <w:tblPr/>
      <w:tcPr>
        <w:shd w:val="clear" w:color="auto" w:fill="DCEED0"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30C0B4" w:themeColor="accent5" w:sz="8" w:space="0"/>
        <w:bottom w:val="single" w:color="30C0B4"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30C0B4" w:themeColor="accent5" w:sz="8" w:space="0"/>
        </w:tcBorders>
      </w:tcPr>
    </w:tblStylePr>
    <w:tblStylePr w:type="lastRow">
      <w:rPr>
        <w:b/>
        <w:bCs/>
        <w:color w:val="44546A" w:themeColor="text2"/>
        <w14:textFill>
          <w14:solidFill>
            <w14:schemeClr w14:val="tx2"/>
          </w14:solidFill>
        </w14:textFill>
      </w:rPr>
      <w:tblPr/>
      <w:tcPr>
        <w:tcBorders>
          <w:top w:val="single" w:color="30C0B4" w:themeColor="accent5" w:sz="8" w:space="0"/>
          <w:bottom w:val="single" w:color="30C0B4" w:themeColor="accent5" w:sz="8" w:space="0"/>
        </w:tcBorders>
      </w:tcPr>
    </w:tblStylePr>
    <w:tblStylePr w:type="firstCol">
      <w:rPr>
        <w:b/>
        <w:bCs/>
      </w:rPr>
    </w:tblStylePr>
    <w:tblStylePr w:type="lastCol">
      <w:rPr>
        <w:b/>
        <w:bCs/>
      </w:rPr>
      <w:tblPr/>
      <w:tcPr>
        <w:tcBorders>
          <w:top w:val="single" w:color="30C0B4" w:themeColor="accent5" w:sz="8" w:space="0"/>
          <w:bottom w:val="single" w:color="30C0B4" w:themeColor="accent5" w:sz="8" w:space="0"/>
        </w:tcBorders>
      </w:tcPr>
    </w:tblStylePr>
    <w:tblStylePr w:type="band1Vert">
      <w:tblPr/>
      <w:tcPr>
        <w:shd w:val="clear" w:color="auto" w:fill="C9F1EE" w:themeFill="accent5" w:themeFillTint="3F"/>
      </w:tcPr>
    </w:tblStylePr>
    <w:tblStylePr w:type="band1Horz">
      <w:tblPr/>
      <w:tcPr>
        <w:shd w:val="clear" w:color="auto" w:fill="C9F1EE"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E54C5E" w:themeColor="accent6" w:sz="8" w:space="0"/>
        <w:bottom w:val="single" w:color="E54C5E"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54C5E" w:themeColor="accent6" w:sz="8" w:space="0"/>
        </w:tcBorders>
      </w:tcPr>
    </w:tblStylePr>
    <w:tblStylePr w:type="lastRow">
      <w:rPr>
        <w:b/>
        <w:bCs/>
        <w:color w:val="44546A" w:themeColor="text2"/>
        <w14:textFill>
          <w14:solidFill>
            <w14:schemeClr w14:val="tx2"/>
          </w14:solidFill>
        </w14:textFill>
      </w:rPr>
      <w:tblPr/>
      <w:tcPr>
        <w:tcBorders>
          <w:top w:val="single" w:color="E54C5E" w:themeColor="accent6" w:sz="8" w:space="0"/>
          <w:bottom w:val="single" w:color="E54C5E" w:themeColor="accent6" w:sz="8" w:space="0"/>
        </w:tcBorders>
      </w:tcPr>
    </w:tblStylePr>
    <w:tblStylePr w:type="firstCol">
      <w:rPr>
        <w:b/>
        <w:bCs/>
      </w:rPr>
    </w:tblStylePr>
    <w:tblStylePr w:type="lastCol">
      <w:rPr>
        <w:b/>
        <w:bCs/>
      </w:rPr>
      <w:tblPr/>
      <w:tcPr>
        <w:tcBorders>
          <w:top w:val="single" w:color="E54C5E" w:themeColor="accent6" w:sz="8" w:space="0"/>
          <w:bottom w:val="single" w:color="E54C5E" w:themeColor="accent6" w:sz="8" w:space="0"/>
        </w:tcBorders>
      </w:tcPr>
    </w:tblStylePr>
    <w:tblStylePr w:type="band1Vert">
      <w:tblPr/>
      <w:tcPr>
        <w:shd w:val="clear" w:color="auto" w:fill="F8D2D7" w:themeFill="accent6" w:themeFillTint="3F"/>
      </w:tcPr>
    </w:tblStylePr>
    <w:tblStylePr w:type="band1Horz">
      <w:tblPr/>
      <w:tcPr>
        <w:shd w:val="clear" w:color="auto" w:fill="F8D2D7"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874CB" w:themeColor="accent1" w:sz="24" w:space="0"/>
          <w:right w:val="nil"/>
          <w:insideH w:val="nil"/>
          <w:insideV w:val="nil"/>
        </w:tcBorders>
        <w:shd w:val="clear" w:color="auto" w:fill="FFFFFF" w:themeFill="background1"/>
      </w:tcPr>
    </w:tblStylePr>
    <w:tblStylePr w:type="lastRow">
      <w:tblPr/>
      <w:tcPr>
        <w:tcBorders>
          <w:top w:val="single" w:color="4874CB"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874CB" w:themeColor="accent1" w:sz="8" w:space="0"/>
          <w:insideH w:val="nil"/>
          <w:insideV w:val="nil"/>
        </w:tcBorders>
        <w:shd w:val="clear" w:color="auto" w:fill="FFFFFF" w:themeFill="background1"/>
      </w:tcPr>
    </w:tblStylePr>
    <w:tblStylePr w:type="lastCol">
      <w:tblPr/>
      <w:tcPr>
        <w:tcBorders>
          <w:top w:val="nil"/>
          <w:left w:val="single" w:color="4874CB"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top w:val="nil"/>
          <w:bottom w:val="nil"/>
          <w:insideH w:val="nil"/>
          <w:insideV w:val="nil"/>
        </w:tcBorders>
        <w:shd w:val="clear" w:color="auto" w:fill="D1DC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tblPr/>
      <w:tcPr>
        <w:tcBorders>
          <w:top w:val="single" w:color="EE822F"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E822F" w:themeColor="accent2" w:sz="8" w:space="0"/>
          <w:insideH w:val="nil"/>
          <w:insideV w:val="nil"/>
        </w:tcBorders>
        <w:shd w:val="clear" w:color="auto" w:fill="FFFFFF" w:themeFill="background1"/>
      </w:tcPr>
    </w:tblStylePr>
    <w:tblStylePr w:type="lastCol">
      <w:tblPr/>
      <w:tcPr>
        <w:tcBorders>
          <w:top w:val="nil"/>
          <w:left w:val="single" w:color="EE822F"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top w:val="nil"/>
          <w:bottom w:val="nil"/>
          <w:insideH w:val="nil"/>
          <w:insideV w:val="nil"/>
        </w:tcBorders>
        <w:shd w:val="clear" w:color="auto" w:fill="FAE0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tblPr/>
      <w:tcPr>
        <w:tcBorders>
          <w:top w:val="single" w:color="F2BA02"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2BA02" w:themeColor="accent3" w:sz="8" w:space="0"/>
          <w:insideH w:val="nil"/>
          <w:insideV w:val="nil"/>
        </w:tcBorders>
        <w:shd w:val="clear" w:color="auto" w:fill="FFFFFF" w:themeFill="background1"/>
      </w:tcPr>
    </w:tblStylePr>
    <w:tblStylePr w:type="lastCol">
      <w:tblPr/>
      <w:tcPr>
        <w:tcBorders>
          <w:top w:val="nil"/>
          <w:left w:val="single" w:color="F2BA02"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top w:val="nil"/>
          <w:bottom w:val="nil"/>
          <w:insideH w:val="nil"/>
          <w:insideV w:val="nil"/>
        </w:tcBorders>
        <w:shd w:val="clear" w:color="auto" w:fill="FEEF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tblPr/>
      <w:tcPr>
        <w:tcBorders>
          <w:top w:val="single" w:color="75BD4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5BD42" w:themeColor="accent4" w:sz="8" w:space="0"/>
          <w:insideH w:val="nil"/>
          <w:insideV w:val="nil"/>
        </w:tcBorders>
        <w:shd w:val="clear" w:color="auto" w:fill="FFFFFF" w:themeFill="background1"/>
      </w:tcPr>
    </w:tblStylePr>
    <w:tblStylePr w:type="lastCol">
      <w:tblPr/>
      <w:tcPr>
        <w:tcBorders>
          <w:top w:val="nil"/>
          <w:left w:val="single" w:color="75BD4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top w:val="nil"/>
          <w:bottom w:val="nil"/>
          <w:insideH w:val="nil"/>
          <w:insideV w:val="nil"/>
        </w:tcBorders>
        <w:shd w:val="clear" w:color="auto" w:fill="DCEE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tblPr/>
      <w:tcPr>
        <w:tcBorders>
          <w:top w:val="single" w:color="30C0B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0C0B4" w:themeColor="accent5" w:sz="8" w:space="0"/>
          <w:insideH w:val="nil"/>
          <w:insideV w:val="nil"/>
        </w:tcBorders>
        <w:shd w:val="clear" w:color="auto" w:fill="FFFFFF" w:themeFill="background1"/>
      </w:tcPr>
    </w:tblStylePr>
    <w:tblStylePr w:type="lastCol">
      <w:tblPr/>
      <w:tcPr>
        <w:tcBorders>
          <w:top w:val="nil"/>
          <w:left w:val="single" w:color="30C0B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top w:val="nil"/>
          <w:bottom w:val="nil"/>
          <w:insideH w:val="nil"/>
          <w:insideV w:val="nil"/>
        </w:tcBorders>
        <w:shd w:val="clear" w:color="auto" w:fill="C9F1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tblPr/>
      <w:tcPr>
        <w:tcBorders>
          <w:top w:val="single" w:color="E54C5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54C5E" w:themeColor="accent6" w:sz="8" w:space="0"/>
          <w:insideH w:val="nil"/>
          <w:insideV w:val="nil"/>
        </w:tcBorders>
        <w:shd w:val="clear" w:color="auto" w:fill="FFFFFF" w:themeFill="background1"/>
      </w:tcPr>
    </w:tblStylePr>
    <w:tblStylePr w:type="lastCol">
      <w:tblPr/>
      <w:tcPr>
        <w:tcBorders>
          <w:top w:val="nil"/>
          <w:left w:val="single" w:color="E54C5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top w:val="nil"/>
          <w:bottom w:val="nil"/>
          <w:insideH w:val="nil"/>
          <w:insideV w:val="nil"/>
        </w:tcBorders>
        <w:shd w:val="clear" w:color="auto" w:fill="F8D2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insideV w:val="single" w:color="7596D8" w:themeColor="accent1" w:themeTint="BF" w:sz="8" w:space="0"/>
      </w:tblBorders>
      <w:tblCellMar>
        <w:top w:w="0" w:type="dxa"/>
        <w:left w:w="108" w:type="dxa"/>
        <w:bottom w:w="0" w:type="dxa"/>
        <w:right w:w="108" w:type="dxa"/>
      </w:tblCellMar>
    </w:tblPr>
    <w:tcPr>
      <w:shd w:val="clear" w:color="auto" w:fill="D1DCF2" w:themeFill="accent1" w:themeFillTint="3F"/>
    </w:tcPr>
    <w:tblStylePr w:type="firstRow">
      <w:rPr>
        <w:b/>
        <w:bCs/>
      </w:rPr>
    </w:tblStylePr>
    <w:tblStylePr w:type="lastRow">
      <w:rPr>
        <w:b/>
        <w:bCs/>
      </w:rPr>
      <w:tblPr/>
      <w:tcPr>
        <w:tcBorders>
          <w:top w:val="single" w:color="7596D8" w:themeColor="accent1" w:themeTint="BF" w:sz="18" w:space="0"/>
        </w:tcBorders>
      </w:tcPr>
    </w:tblStylePr>
    <w:tblStylePr w:type="firstCol">
      <w:rPr>
        <w:b/>
        <w:bCs/>
      </w:rPr>
    </w:tblStylePr>
    <w:tblStylePr w:type="lastCol">
      <w:rPr>
        <w:b/>
        <w:bCs/>
      </w:r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86">
    <w:name w:val="Medium Grid 1 Accent 2"/>
    <w:basedOn w:val="33"/>
    <w:qFormat/>
    <w:uiPriority w:val="67"/>
    <w:pPr>
      <w:spacing w:after="0" w:line="240" w:lineRule="auto"/>
    </w:p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insideV w:val="single" w:color="F2A163" w:themeColor="accent2" w:themeTint="BF" w:sz="8" w:space="0"/>
      </w:tblBorders>
      <w:tblCellMar>
        <w:top w:w="0" w:type="dxa"/>
        <w:left w:w="108" w:type="dxa"/>
        <w:bottom w:w="0" w:type="dxa"/>
        <w:right w:w="108" w:type="dxa"/>
      </w:tblCellMar>
    </w:tblPr>
    <w:tcPr>
      <w:shd w:val="clear" w:color="auto" w:fill="FAE0CB" w:themeFill="accent2" w:themeFillTint="3F"/>
    </w:tcPr>
    <w:tblStylePr w:type="firstRow">
      <w:rPr>
        <w:b/>
        <w:bCs/>
      </w:rPr>
    </w:tblStylePr>
    <w:tblStylePr w:type="lastRow">
      <w:rPr>
        <w:b/>
        <w:bCs/>
      </w:rPr>
      <w:tblPr/>
      <w:tcPr>
        <w:tcBorders>
          <w:top w:val="single" w:color="F2A163" w:themeColor="accent2" w:themeTint="BF" w:sz="18" w:space="0"/>
        </w:tcBorders>
      </w:tcPr>
    </w:tblStylePr>
    <w:tblStylePr w:type="firstCol">
      <w:rPr>
        <w:b/>
        <w:bCs/>
      </w:rPr>
    </w:tblStylePr>
    <w:tblStylePr w:type="lastCol">
      <w:rPr>
        <w:b/>
        <w:bCs/>
      </w:r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87">
    <w:name w:val="Medium Grid 1 Accent 3"/>
    <w:basedOn w:val="33"/>
    <w:uiPriority w:val="67"/>
    <w:pPr>
      <w:spacing w:after="0" w:line="240" w:lineRule="auto"/>
    </w:p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insideV w:val="single" w:color="FDCF39" w:themeColor="accent3" w:themeTint="BF" w:sz="8" w:space="0"/>
      </w:tblBorders>
      <w:tblCellMar>
        <w:top w:w="0" w:type="dxa"/>
        <w:left w:w="108" w:type="dxa"/>
        <w:bottom w:w="0" w:type="dxa"/>
        <w:right w:w="108" w:type="dxa"/>
      </w:tblCellMar>
    </w:tblPr>
    <w:tcPr>
      <w:shd w:val="clear" w:color="auto" w:fill="FEEFBD" w:themeFill="accent3" w:themeFillTint="3F"/>
    </w:tcPr>
    <w:tblStylePr w:type="firstRow">
      <w:rPr>
        <w:b/>
        <w:bCs/>
      </w:rPr>
    </w:tblStylePr>
    <w:tblStylePr w:type="lastRow">
      <w:rPr>
        <w:b/>
        <w:bCs/>
      </w:rPr>
      <w:tblPr/>
      <w:tcPr>
        <w:tcBorders>
          <w:top w:val="single" w:color="FDCF39" w:themeColor="accent3" w:themeTint="BF" w:sz="18" w:space="0"/>
        </w:tcBorders>
      </w:tcPr>
    </w:tblStylePr>
    <w:tblStylePr w:type="firstCol">
      <w:rPr>
        <w:b/>
        <w:bCs/>
      </w:rPr>
    </w:tblStylePr>
    <w:tblStylePr w:type="lastCol">
      <w:rPr>
        <w:b/>
        <w:bCs/>
      </w:r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88">
    <w:name w:val="Medium Grid 1 Accent 4"/>
    <w:basedOn w:val="33"/>
    <w:uiPriority w:val="67"/>
    <w:pPr>
      <w:spacing w:after="0" w:line="240" w:lineRule="auto"/>
    </w:p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insideV w:val="single" w:color="97CD71" w:themeColor="accent4" w:themeTint="BF" w:sz="8" w:space="0"/>
      </w:tblBorders>
      <w:tblCellMar>
        <w:top w:w="0" w:type="dxa"/>
        <w:left w:w="108" w:type="dxa"/>
        <w:bottom w:w="0" w:type="dxa"/>
        <w:right w:w="108" w:type="dxa"/>
      </w:tblCellMar>
    </w:tblPr>
    <w:tcPr>
      <w:shd w:val="clear" w:color="auto" w:fill="DCEED0" w:themeFill="accent4" w:themeFillTint="3F"/>
    </w:tcPr>
    <w:tblStylePr w:type="firstRow">
      <w:rPr>
        <w:b/>
        <w:bCs/>
      </w:rPr>
    </w:tblStylePr>
    <w:tblStylePr w:type="lastRow">
      <w:rPr>
        <w:b/>
        <w:bCs/>
      </w:rPr>
      <w:tblPr/>
      <w:tcPr>
        <w:tcBorders>
          <w:top w:val="single" w:color="97CD71" w:themeColor="accent4" w:themeTint="BF" w:sz="18" w:space="0"/>
        </w:tcBorders>
      </w:tcPr>
    </w:tblStylePr>
    <w:tblStylePr w:type="firstCol">
      <w:rPr>
        <w:b/>
        <w:bCs/>
      </w:rPr>
    </w:tblStylePr>
    <w:tblStylePr w:type="lastCol">
      <w:rPr>
        <w:b/>
        <w:bCs/>
      </w:r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89">
    <w:name w:val="Medium Grid 1 Accent 5"/>
    <w:basedOn w:val="33"/>
    <w:uiPriority w:val="67"/>
    <w:pPr>
      <w:spacing w:after="0" w:line="240" w:lineRule="auto"/>
    </w:p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insideV w:val="single" w:color="5DD6CC" w:themeColor="accent5" w:themeTint="BF" w:sz="8" w:space="0"/>
      </w:tblBorders>
      <w:tblCellMar>
        <w:top w:w="0" w:type="dxa"/>
        <w:left w:w="108" w:type="dxa"/>
        <w:bottom w:w="0" w:type="dxa"/>
        <w:right w:w="108" w:type="dxa"/>
      </w:tblCellMar>
    </w:tblPr>
    <w:tcPr>
      <w:shd w:val="clear" w:color="auto" w:fill="C9F1EE" w:themeFill="accent5" w:themeFillTint="3F"/>
    </w:tcPr>
    <w:tblStylePr w:type="firstRow">
      <w:rPr>
        <w:b/>
        <w:bCs/>
      </w:rPr>
    </w:tblStylePr>
    <w:tblStylePr w:type="lastRow">
      <w:rPr>
        <w:b/>
        <w:bCs/>
      </w:rPr>
      <w:tblPr/>
      <w:tcPr>
        <w:tcBorders>
          <w:top w:val="single" w:color="5DD6CC" w:themeColor="accent5" w:themeTint="BF" w:sz="18" w:space="0"/>
        </w:tcBorders>
      </w:tcPr>
    </w:tblStylePr>
    <w:tblStylePr w:type="firstCol">
      <w:rPr>
        <w:b/>
        <w:bCs/>
      </w:rPr>
    </w:tblStylePr>
    <w:tblStylePr w:type="lastCol">
      <w:rPr>
        <w:b/>
        <w:bCs/>
      </w:r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90">
    <w:name w:val="Medium Grid 1 Accent 6"/>
    <w:basedOn w:val="33"/>
    <w:uiPriority w:val="67"/>
    <w:pPr>
      <w:spacing w:after="0" w:line="240" w:lineRule="auto"/>
    </w:p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insideV w:val="single" w:color="EB7886" w:themeColor="accent6" w:themeTint="BF" w:sz="8" w:space="0"/>
      </w:tblBorders>
      <w:tblCellMar>
        <w:top w:w="0" w:type="dxa"/>
        <w:left w:w="108" w:type="dxa"/>
        <w:bottom w:w="0" w:type="dxa"/>
        <w:right w:w="108" w:type="dxa"/>
      </w:tblCellMar>
    </w:tblPr>
    <w:tcPr>
      <w:shd w:val="clear" w:color="auto" w:fill="F8D2D7" w:themeFill="accent6" w:themeFillTint="3F"/>
    </w:tcPr>
    <w:tblStylePr w:type="firstRow">
      <w:rPr>
        <w:b/>
        <w:bCs/>
      </w:rPr>
    </w:tblStylePr>
    <w:tblStylePr w:type="lastRow">
      <w:rPr>
        <w:b/>
        <w:bCs/>
      </w:rPr>
      <w:tblPr/>
      <w:tcPr>
        <w:tcBorders>
          <w:top w:val="single" w:color="EB7886" w:themeColor="accent6" w:themeTint="BF" w:sz="18" w:space="0"/>
        </w:tcBorders>
      </w:tcPr>
    </w:tblStylePr>
    <w:tblStylePr w:type="firstCol">
      <w:rPr>
        <w:b/>
        <w:bCs/>
      </w:rPr>
    </w:tblStylePr>
    <w:tblStylePr w:type="lastCol">
      <w:rPr>
        <w:b/>
        <w:bCs/>
      </w:r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CellMar>
        <w:top w:w="0" w:type="dxa"/>
        <w:left w:w="108" w:type="dxa"/>
        <w:bottom w:w="0" w:type="dxa"/>
        <w:right w:w="108" w:type="dxa"/>
      </w:tblCellMar>
    </w:tblPr>
    <w:tcPr>
      <w:shd w:val="clear" w:color="auto" w:fill="D1DCF2" w:themeFill="accent1" w:themeFillTint="3F"/>
    </w:tcPr>
    <w:tblStylePr w:type="firstRow">
      <w:rPr>
        <w:b/>
        <w:bCs/>
        <w:color w:val="000000" w:themeColor="text1"/>
        <w14:textFill>
          <w14:solidFill>
            <w14:schemeClr w14:val="tx1"/>
          </w14:solidFill>
        </w14:textFill>
      </w:rPr>
      <w:tblPr/>
      <w:tcPr>
        <w:shd w:val="clear" w:color="auto" w:fill="ED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3F4" w:themeFill="accent1" w:themeFillTint="33"/>
      </w:tcPr>
    </w:tblStylePr>
    <w:tblStylePr w:type="band1Vert">
      <w:tblPr/>
      <w:tcPr>
        <w:shd w:val="clear" w:color="auto" w:fill="A3B9E5" w:themeFill="accent1" w:themeFillTint="7F"/>
      </w:tcPr>
    </w:tblStylePr>
    <w:tblStylePr w:type="band1Horz">
      <w:tblPr/>
      <w:tcPr>
        <w:tcBorders>
          <w:insideH w:val="single" w:sz="6" w:space="0"/>
          <w:insideV w:val="single" w:sz="6" w:space="0"/>
        </w:tcBorders>
        <w:shd w:val="clear" w:color="auto" w:fill="A3B9E5"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CellMar>
        <w:top w:w="0" w:type="dxa"/>
        <w:left w:w="108" w:type="dxa"/>
        <w:bottom w:w="0" w:type="dxa"/>
        <w:right w:w="108" w:type="dxa"/>
      </w:tblCellMar>
    </w:tblPr>
    <w:tcPr>
      <w:shd w:val="clear" w:color="auto" w:fill="FAE0CB"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5D5" w:themeFill="accent2" w:themeFillTint="33"/>
      </w:tcPr>
    </w:tblStylePr>
    <w:tblStylePr w:type="band1Vert">
      <w:tblPr/>
      <w:tcPr>
        <w:shd w:val="clear" w:color="auto" w:fill="F6C097" w:themeFill="accent2" w:themeFillTint="7F"/>
      </w:tcPr>
    </w:tblStylePr>
    <w:tblStylePr w:type="band1Horz">
      <w:tblPr/>
      <w:tcPr>
        <w:tcBorders>
          <w:insideH w:val="single" w:sz="6" w:space="0"/>
          <w:insideV w:val="single" w:sz="6" w:space="0"/>
        </w:tcBorders>
        <w:shd w:val="clear" w:color="auto" w:fill="F6C097"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CellMar>
        <w:top w:w="0" w:type="dxa"/>
        <w:left w:w="108" w:type="dxa"/>
        <w:bottom w:w="0" w:type="dxa"/>
        <w:right w:w="108" w:type="dxa"/>
      </w:tblCellMar>
    </w:tblPr>
    <w:tcPr>
      <w:shd w:val="clear" w:color="auto" w:fill="FEEFBD" w:themeFill="accent3" w:themeFillTint="3F"/>
    </w:tcPr>
    <w:tblStylePr w:type="firstRow">
      <w:rPr>
        <w:b/>
        <w:bCs/>
        <w:color w:val="000000" w:themeColor="text1"/>
        <w14:textFill>
          <w14:solidFill>
            <w14:schemeClr w14:val="tx1"/>
          </w14:solidFill>
        </w14:textFill>
      </w:rPr>
      <w:tblPr/>
      <w:tcPr>
        <w:shd w:val="clear" w:color="auto" w:fill="FEF8E5"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A" w:themeFill="accent3" w:themeFillTint="33"/>
      </w:tcPr>
    </w:tblStylePr>
    <w:tblStylePr w:type="band1Vert">
      <w:tblPr/>
      <w:tcPr>
        <w:shd w:val="clear" w:color="auto" w:fill="FDDF7B" w:themeFill="accent3" w:themeFillTint="7F"/>
      </w:tcPr>
    </w:tblStylePr>
    <w:tblStylePr w:type="band1Horz">
      <w:tblPr/>
      <w:tcPr>
        <w:tcBorders>
          <w:insideH w:val="single" w:sz="6" w:space="0"/>
          <w:insideV w:val="single" w:sz="6" w:space="0"/>
        </w:tcBorders>
        <w:shd w:val="clear" w:color="auto" w:fill="FDDF7B"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CellMar>
        <w:top w:w="0" w:type="dxa"/>
        <w:left w:w="108" w:type="dxa"/>
        <w:bottom w:w="0" w:type="dxa"/>
        <w:right w:w="108" w:type="dxa"/>
      </w:tblCellMar>
    </w:tblPr>
    <w:tcPr>
      <w:shd w:val="clear" w:color="auto" w:fill="DCEED0" w:themeFill="accent4" w:themeFillTint="3F"/>
    </w:tcPr>
    <w:tblStylePr w:type="firstRow">
      <w:rPr>
        <w:b/>
        <w:bCs/>
        <w:color w:val="000000" w:themeColor="text1"/>
        <w14:textFill>
          <w14:solidFill>
            <w14:schemeClr w14:val="tx1"/>
          </w14:solidFill>
        </w14:textFill>
      </w:rPr>
      <w:tblPr/>
      <w:tcPr>
        <w:shd w:val="clear" w:color="auto" w:fill="F1F8EC"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3F1D9" w:themeFill="accent4" w:themeFillTint="33"/>
      </w:tcPr>
    </w:tblStylePr>
    <w:tblStylePr w:type="band1Vert">
      <w:tblPr/>
      <w:tcPr>
        <w:shd w:val="clear" w:color="auto" w:fill="BADEA0" w:themeFill="accent4" w:themeFillTint="7F"/>
      </w:tcPr>
    </w:tblStylePr>
    <w:tblStylePr w:type="band1Horz">
      <w:tblPr/>
      <w:tcPr>
        <w:tcBorders>
          <w:insideH w:val="single" w:sz="6" w:space="0"/>
          <w:insideV w:val="single" w:sz="6" w:space="0"/>
        </w:tcBorders>
        <w:shd w:val="clear" w:color="auto" w:fill="BADEA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CellMar>
        <w:top w:w="0" w:type="dxa"/>
        <w:left w:w="108" w:type="dxa"/>
        <w:bottom w:w="0" w:type="dxa"/>
        <w:right w:w="108" w:type="dxa"/>
      </w:tblCellMar>
    </w:tblPr>
    <w:tcPr>
      <w:shd w:val="clear" w:color="auto" w:fill="C9F1EE" w:themeFill="accent5" w:themeFillTint="3F"/>
    </w:tcPr>
    <w:tblStylePr w:type="firstRow">
      <w:rPr>
        <w:b/>
        <w:bCs/>
        <w:color w:val="000000" w:themeColor="text1"/>
        <w14:textFill>
          <w14:solidFill>
            <w14:schemeClr w14:val="tx1"/>
          </w14:solidFill>
        </w14:textFill>
      </w:rPr>
      <w:tblPr/>
      <w:tcPr>
        <w:shd w:val="clear" w:color="auto" w:fill="E9F9F8"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3F4F1" w:themeFill="accent5" w:themeFillTint="33"/>
      </w:tcPr>
    </w:tblStylePr>
    <w:tblStylePr w:type="band1Vert">
      <w:tblPr/>
      <w:tcPr>
        <w:shd w:val="clear" w:color="auto" w:fill="93E4DD" w:themeFill="accent5" w:themeFillTint="7F"/>
      </w:tcPr>
    </w:tblStylePr>
    <w:tblStylePr w:type="band1Horz">
      <w:tblPr/>
      <w:tcPr>
        <w:tcBorders>
          <w:insideH w:val="single" w:sz="6" w:space="0"/>
          <w:insideV w:val="single" w:sz="6" w:space="0"/>
        </w:tcBorders>
        <w:shd w:val="clear" w:color="auto" w:fill="93E4DD"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CellMar>
        <w:top w:w="0" w:type="dxa"/>
        <w:left w:w="108" w:type="dxa"/>
        <w:bottom w:w="0" w:type="dxa"/>
        <w:right w:w="108" w:type="dxa"/>
      </w:tblCellMar>
    </w:tblPr>
    <w:tcPr>
      <w:shd w:val="clear" w:color="auto" w:fill="F8D2D7" w:themeFill="accent6" w:themeFillTint="3F"/>
    </w:tcPr>
    <w:tblStylePr w:type="firstRow">
      <w:rPr>
        <w:b/>
        <w:bCs/>
        <w:color w:val="000000" w:themeColor="text1"/>
        <w14:textFill>
          <w14:solidFill>
            <w14:schemeClr w14:val="tx1"/>
          </w14:solidFill>
        </w14:textFill>
      </w:rPr>
      <w:tblPr/>
      <w:tcPr>
        <w:shd w:val="clear" w:color="auto" w:fill="FCEDEF"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9DBDE" w:themeFill="accent6" w:themeFillTint="33"/>
      </w:tcPr>
    </w:tblStylePr>
    <w:tblStylePr w:type="band1Vert">
      <w:tblPr/>
      <w:tcPr>
        <w:shd w:val="clear" w:color="auto" w:fill="F2A5AE" w:themeFill="accent6" w:themeFillTint="7F"/>
      </w:tcPr>
    </w:tblStylePr>
    <w:tblStylePr w:type="band1Horz">
      <w:tblPr/>
      <w:tcPr>
        <w:tcBorders>
          <w:insideH w:val="single" w:sz="6" w:space="0"/>
          <w:insideV w:val="single" w:sz="6" w:space="0"/>
        </w:tcBorders>
        <w:shd w:val="clear" w:color="auto" w:fill="F2A5AE"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1DCF2"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874CB"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874CB"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874CB"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874CB"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3B9E5"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3B9E5"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E0CB"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E822F"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E822F"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E822F"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E822F"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C097"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C097"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EEFBD"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2BA02"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2BA02"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2BA02"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2BA02"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DDF7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DDF7B"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CEED0"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5BD4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5BD4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5BD4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5BD4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ADEA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ADEA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9F1EE"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0C0B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0C0B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0C0B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0C0B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3E4DD"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3E4DD"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8D2D7"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54C5E"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54C5E"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54C5E"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54C5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2A5AE"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2A5AE"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874CB"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376A"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D54A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D54A0" w:themeFill="accent1" w:themeFillShade="BF"/>
      </w:tcPr>
    </w:tblStylePr>
    <w:tblStylePr w:type="band1Vert">
      <w:tblPr/>
      <w:tcPr>
        <w:tcBorders>
          <w:top w:val="nil"/>
          <w:left w:val="nil"/>
          <w:bottom w:val="nil"/>
          <w:right w:val="nil"/>
          <w:insideH w:val="nil"/>
          <w:insideV w:val="nil"/>
        </w:tcBorders>
        <w:shd w:val="clear" w:color="auto" w:fill="2D54A0" w:themeFill="accent1" w:themeFillShade="BF"/>
      </w:tcPr>
    </w:tblStylePr>
    <w:tblStylePr w:type="band1Horz">
      <w:tblPr/>
      <w:tcPr>
        <w:tcBorders>
          <w:top w:val="nil"/>
          <w:left w:val="nil"/>
          <w:bottom w:val="nil"/>
          <w:right w:val="nil"/>
          <w:insideH w:val="nil"/>
          <w:insideV w:val="nil"/>
        </w:tcBorders>
        <w:shd w:val="clear" w:color="auto" w:fill="2D54A0"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E822F"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33F0A"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E1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E10" w:themeFill="accent2" w:themeFillShade="BF"/>
      </w:tcPr>
    </w:tblStylePr>
    <w:tblStylePr w:type="band1Vert">
      <w:tblPr/>
      <w:tcPr>
        <w:tcBorders>
          <w:top w:val="nil"/>
          <w:left w:val="nil"/>
          <w:bottom w:val="nil"/>
          <w:right w:val="nil"/>
          <w:insideH w:val="nil"/>
          <w:insideV w:val="nil"/>
        </w:tcBorders>
        <w:shd w:val="clear" w:color="auto" w:fill="C55E10" w:themeFill="accent2" w:themeFillShade="BF"/>
      </w:tcPr>
    </w:tblStylePr>
    <w:tblStylePr w:type="band1Horz">
      <w:tblPr/>
      <w:tcPr>
        <w:tcBorders>
          <w:top w:val="nil"/>
          <w:left w:val="nil"/>
          <w:bottom w:val="nil"/>
          <w:right w:val="nil"/>
          <w:insideH w:val="nil"/>
          <w:insideV w:val="nil"/>
        </w:tcBorders>
        <w:shd w:val="clear" w:color="auto" w:fill="C55E10"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2BA02"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85C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58B01"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58B01" w:themeFill="accent3" w:themeFillShade="BF"/>
      </w:tcPr>
    </w:tblStylePr>
    <w:tblStylePr w:type="band1Vert">
      <w:tblPr/>
      <w:tcPr>
        <w:tcBorders>
          <w:top w:val="nil"/>
          <w:left w:val="nil"/>
          <w:bottom w:val="nil"/>
          <w:right w:val="nil"/>
          <w:insideH w:val="nil"/>
          <w:insideV w:val="nil"/>
        </w:tcBorders>
        <w:shd w:val="clear" w:color="auto" w:fill="B58B01" w:themeFill="accent3" w:themeFillShade="BF"/>
      </w:tcPr>
    </w:tblStylePr>
    <w:tblStylePr w:type="band1Horz">
      <w:tblPr/>
      <w:tcPr>
        <w:tcBorders>
          <w:top w:val="nil"/>
          <w:left w:val="nil"/>
          <w:bottom w:val="nil"/>
          <w:right w:val="nil"/>
          <w:insideH w:val="nil"/>
          <w:insideV w:val="nil"/>
        </w:tcBorders>
        <w:shd w:val="clear" w:color="auto" w:fill="B58B01"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5BD4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A5E2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78D31"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78D31" w:themeFill="accent4" w:themeFillShade="BF"/>
      </w:tcPr>
    </w:tblStylePr>
    <w:tblStylePr w:type="band1Vert">
      <w:tblPr/>
      <w:tcPr>
        <w:tcBorders>
          <w:top w:val="nil"/>
          <w:left w:val="nil"/>
          <w:bottom w:val="nil"/>
          <w:right w:val="nil"/>
          <w:insideH w:val="nil"/>
          <w:insideV w:val="nil"/>
        </w:tcBorders>
        <w:shd w:val="clear" w:color="auto" w:fill="578D31" w:themeFill="accent4" w:themeFillShade="BF"/>
      </w:tcPr>
    </w:tblStylePr>
    <w:tblStylePr w:type="band1Horz">
      <w:tblPr/>
      <w:tcPr>
        <w:tcBorders>
          <w:top w:val="nil"/>
          <w:left w:val="nil"/>
          <w:bottom w:val="nil"/>
          <w:right w:val="nil"/>
          <w:insideH w:val="nil"/>
          <w:insideV w:val="nil"/>
        </w:tcBorders>
        <w:shd w:val="clear" w:color="auto" w:fill="578D31"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30C0B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75F59"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38F8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38F86" w:themeFill="accent5" w:themeFillShade="BF"/>
      </w:tcPr>
    </w:tblStylePr>
    <w:tblStylePr w:type="band1Vert">
      <w:tblPr/>
      <w:tcPr>
        <w:tcBorders>
          <w:top w:val="nil"/>
          <w:left w:val="nil"/>
          <w:bottom w:val="nil"/>
          <w:right w:val="nil"/>
          <w:insideH w:val="nil"/>
          <w:insideV w:val="nil"/>
        </w:tcBorders>
        <w:shd w:val="clear" w:color="auto" w:fill="238F86" w:themeFill="accent5" w:themeFillShade="BF"/>
      </w:tcPr>
    </w:tblStylePr>
    <w:tblStylePr w:type="band1Horz">
      <w:tblPr/>
      <w:tcPr>
        <w:tcBorders>
          <w:top w:val="nil"/>
          <w:left w:val="nil"/>
          <w:bottom w:val="nil"/>
          <w:right w:val="nil"/>
          <w:insideH w:val="nil"/>
          <w:insideV w:val="nil"/>
        </w:tcBorders>
        <w:shd w:val="clear" w:color="auto" w:fill="238F86"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54C5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4132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C71C31"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C71C31" w:themeFill="accent6" w:themeFillShade="BF"/>
      </w:tcPr>
    </w:tblStylePr>
    <w:tblStylePr w:type="band1Vert">
      <w:tblPr/>
      <w:tcPr>
        <w:tcBorders>
          <w:top w:val="nil"/>
          <w:left w:val="nil"/>
          <w:bottom w:val="nil"/>
          <w:right w:val="nil"/>
          <w:insideH w:val="nil"/>
          <w:insideV w:val="nil"/>
        </w:tcBorders>
        <w:shd w:val="clear" w:color="auto" w:fill="C71C31" w:themeFill="accent6" w:themeFillShade="BF"/>
      </w:tcPr>
    </w:tblStylePr>
    <w:tblStylePr w:type="band1Horz">
      <w:tblPr/>
      <w:tcPr>
        <w:tcBorders>
          <w:top w:val="nil"/>
          <w:left w:val="nil"/>
          <w:bottom w:val="nil"/>
          <w:right w:val="nil"/>
          <w:insideH w:val="nil"/>
          <w:insideV w:val="nil"/>
        </w:tcBorders>
        <w:shd w:val="clear" w:color="auto" w:fill="C71C31"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4874CB" w:themeColor="accent1" w:sz="4" w:space="0"/>
        <w:bottom w:val="single" w:color="4874CB" w:themeColor="accent1" w:sz="4" w:space="0"/>
        <w:right w:val="single" w:color="4874CB"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1F9" w:themeFill="accen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44380"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44380"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44380" w:themeFill="accent1" w:themeFillShade="99"/>
      </w:tcPr>
    </w:tblStylePr>
    <w:tblStylePr w:type="band1Vert">
      <w:tblPr/>
      <w:tcPr>
        <w:shd w:val="clear" w:color="auto" w:fill="B5C7EA" w:themeFill="accent1" w:themeFillTint="66"/>
      </w:tcPr>
    </w:tblStylePr>
    <w:tblStylePr w:type="band1Horz">
      <w:tblPr/>
      <w:tcPr>
        <w:shd w:val="clear" w:color="auto" w:fill="A3B9E5"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EE822F" w:themeColor="accent2" w:sz="4" w:space="0"/>
        <w:bottom w:val="single" w:color="EE822F" w:themeColor="accent2" w:sz="4" w:space="0"/>
        <w:right w:val="single" w:color="EE822F"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E4B0C"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E4B0C"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E4B0C" w:themeFill="accent2" w:themeFillShade="99"/>
      </w:tcPr>
    </w:tblStylePr>
    <w:tblStylePr w:type="band1Vert">
      <w:tblPr/>
      <w:tcPr>
        <w:shd w:val="clear" w:color="auto" w:fill="F8CCAB" w:themeFill="accent2" w:themeFillTint="66"/>
      </w:tcPr>
    </w:tblStylePr>
    <w:tblStylePr w:type="band1Horz">
      <w:tblPr/>
      <w:tcPr>
        <w:shd w:val="clear" w:color="auto" w:fill="F6C097"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75BD42" w:themeColor="accent4" w:sz="24" w:space="0"/>
        <w:left w:val="single" w:color="F2BA02" w:themeColor="accent3" w:sz="4" w:space="0"/>
        <w:bottom w:val="single" w:color="F2BA02" w:themeColor="accent3" w:sz="4" w:space="0"/>
        <w:right w:val="single" w:color="F2BA02"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8E5" w:themeFill="accent3" w:themeFillTint="19"/>
    </w:tcPr>
    <w:tblStylePr w:type="firstRow">
      <w:rPr>
        <w:b/>
        <w:bCs/>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16F01"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16F01"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16F01" w:themeFill="accent3" w:themeFillShade="99"/>
      </w:tcPr>
    </w:tblStylePr>
    <w:tblStylePr w:type="band1Vert">
      <w:tblPr/>
      <w:tcPr>
        <w:shd w:val="clear" w:color="auto" w:fill="FEE595" w:themeFill="accent3" w:themeFillTint="66"/>
      </w:tcPr>
    </w:tblStylePr>
    <w:tblStylePr w:type="band1Horz">
      <w:tblPr/>
      <w:tcPr>
        <w:shd w:val="clear" w:color="auto" w:fill="FDDF7B"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F2BA02" w:themeColor="accent3" w:sz="24" w:space="0"/>
        <w:left w:val="single" w:color="75BD42" w:themeColor="accent4" w:sz="4" w:space="0"/>
        <w:bottom w:val="single" w:color="75BD42" w:themeColor="accent4" w:sz="4" w:space="0"/>
        <w:right w:val="single" w:color="75BD4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1F8EC" w:themeFill="accent4" w:themeFillTint="19"/>
    </w:tcPr>
    <w:tblStylePr w:type="firstRow">
      <w:rPr>
        <w:b/>
        <w:bCs/>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67127"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67127"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67127" w:themeFill="accent4" w:themeFillShade="99"/>
      </w:tcPr>
    </w:tblStylePr>
    <w:tblStylePr w:type="band1Vert">
      <w:tblPr/>
      <w:tcPr>
        <w:shd w:val="clear" w:color="auto" w:fill="C7E4B3" w:themeFill="accent4" w:themeFillTint="66"/>
      </w:tcPr>
    </w:tblStylePr>
    <w:tblStylePr w:type="band1Horz">
      <w:tblPr/>
      <w:tcPr>
        <w:shd w:val="clear" w:color="auto" w:fill="BADEA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E54C5E" w:themeColor="accent6" w:sz="24" w:space="0"/>
        <w:left w:val="single" w:color="30C0B4" w:themeColor="accent5" w:sz="4" w:space="0"/>
        <w:bottom w:val="single" w:color="30C0B4" w:themeColor="accent5" w:sz="4" w:space="0"/>
        <w:right w:val="single" w:color="30C0B4"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9F9F8" w:themeFill="accent5" w:themeFillTint="19"/>
    </w:tcPr>
    <w:tblStylePr w:type="firstRow">
      <w:rPr>
        <w:b/>
        <w:bCs/>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1C736B"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1C736B"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1C736B" w:themeFill="accent5" w:themeFillShade="99"/>
      </w:tcPr>
    </w:tblStylePr>
    <w:tblStylePr w:type="band1Vert">
      <w:tblPr/>
      <w:tcPr>
        <w:shd w:val="clear" w:color="auto" w:fill="A8E9E3" w:themeFill="accent5" w:themeFillTint="66"/>
      </w:tcPr>
    </w:tblStylePr>
    <w:tblStylePr w:type="band1Horz">
      <w:tblPr/>
      <w:tcPr>
        <w:shd w:val="clear" w:color="auto" w:fill="93E4DD"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30C0B4" w:themeColor="accent5" w:sz="24" w:space="0"/>
        <w:left w:val="single" w:color="E54C5E" w:themeColor="accent6" w:sz="4" w:space="0"/>
        <w:bottom w:val="single" w:color="E54C5E" w:themeColor="accent6" w:sz="4" w:space="0"/>
        <w:right w:val="single" w:color="E54C5E"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CEDEF" w:themeFill="accent6" w:themeFillTint="19"/>
    </w:tcPr>
    <w:tblStylePr w:type="firstRow">
      <w:rPr>
        <w:b/>
        <w:bCs/>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F172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F172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F1727" w:themeFill="accent6" w:themeFillShade="99"/>
      </w:tcPr>
    </w:tblStylePr>
    <w:tblStylePr w:type="band1Vert">
      <w:tblPr/>
      <w:tcPr>
        <w:shd w:val="clear" w:color="auto" w:fill="F4B7BE" w:themeFill="accent6" w:themeFillTint="66"/>
      </w:tcPr>
    </w:tblStylePr>
    <w:tblStylePr w:type="band1Horz">
      <w:tblPr/>
      <w:tcPr>
        <w:shd w:val="clear" w:color="auto" w:fill="F2A5AE"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CF2" w:themeFill="accent1" w:themeFillTint="3F"/>
      </w:tcPr>
    </w:tblStylePr>
    <w:tblStylePr w:type="band1Horz">
      <w:tblPr/>
      <w:tcPr>
        <w:shd w:val="clear" w:color="auto" w:fill="DAE3F4"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0CB" w:themeFill="accent2" w:themeFillTint="3F"/>
      </w:tcPr>
    </w:tblStylePr>
    <w:tblStylePr w:type="band1Horz">
      <w:tblPr/>
      <w:tcPr>
        <w:shd w:val="clear" w:color="auto" w:fill="FBE5D5"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8E5"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D9734" w:themeFill="accent4" w:themeFillShade="CC"/>
      </w:tcPr>
    </w:tblStylePr>
    <w:tblStylePr w:type="lastRow">
      <w:rPr>
        <w:b/>
        <w:bCs/>
        <w:color w:val="5E9735"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FBD" w:themeFill="accent3" w:themeFillTint="3F"/>
      </w:tcPr>
    </w:tblStylePr>
    <w:tblStylePr w:type="band1Horz">
      <w:tblPr/>
      <w:tcPr>
        <w:shd w:val="clear" w:color="auto" w:fill="FEF2CA"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1F8EC"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19401" w:themeFill="accent3" w:themeFillShade="CC"/>
      </w:tcPr>
    </w:tblStylePr>
    <w:tblStylePr w:type="lastRow">
      <w:rPr>
        <w:b/>
        <w:bCs/>
        <w:color w:val="C29502"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D0" w:themeFill="accent4" w:themeFillTint="3F"/>
      </w:tcPr>
    </w:tblStylePr>
    <w:tblStylePr w:type="band1Horz">
      <w:tblPr/>
      <w:tcPr>
        <w:shd w:val="clear" w:color="auto" w:fill="E3F1D9"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9F9F8"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51E34" w:themeFill="accent6" w:themeFillShade="CC"/>
      </w:tcPr>
    </w:tblStylePr>
    <w:tblStylePr w:type="lastRow">
      <w:rPr>
        <w:b/>
        <w:bCs/>
        <w:color w:val="D51F3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1EE" w:themeFill="accent5" w:themeFillTint="3F"/>
      </w:tcPr>
    </w:tblStylePr>
    <w:tblStylePr w:type="band1Horz">
      <w:tblPr/>
      <w:tcPr>
        <w:shd w:val="clear" w:color="auto" w:fill="D3F4F1"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CEDEF"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26998F" w:themeFill="accent5" w:themeFillShade="CC"/>
      </w:tcPr>
    </w:tblStylePr>
    <w:tblStylePr w:type="lastRow">
      <w:rPr>
        <w:b/>
        <w:bCs/>
        <w:color w:val="269A9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2D7" w:themeFill="accent6" w:themeFillTint="3F"/>
      </w:tcPr>
    </w:tblStylePr>
    <w:tblStylePr w:type="band1Horz">
      <w:tblPr/>
      <w:tcPr>
        <w:shd w:val="clear" w:color="auto" w:fill="F9DBDE"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3F4" w:themeFill="accent1" w:themeFillTint="33"/>
    </w:tcPr>
    <w:tblStylePr w:type="firstRow">
      <w:rPr>
        <w:b/>
        <w:bCs/>
      </w:rPr>
      <w:tblPr/>
      <w:tcPr>
        <w:shd w:val="clear" w:color="auto" w:fill="B5C7EA" w:themeFill="accent1" w:themeFillTint="66"/>
      </w:tcPr>
    </w:tblStylePr>
    <w:tblStylePr w:type="lastRow">
      <w:rPr>
        <w:b/>
        <w:bCs/>
        <w:color w:val="000000" w:themeColor="text1"/>
        <w14:textFill>
          <w14:solidFill>
            <w14:schemeClr w14:val="tx1"/>
          </w14:solidFill>
        </w14:textFill>
      </w:rPr>
      <w:tblPr/>
      <w:tcPr>
        <w:shd w:val="clear" w:color="auto" w:fill="B5C7EA" w:themeFill="accent1" w:themeFillTint="66"/>
      </w:tcPr>
    </w:tblStylePr>
    <w:tblStylePr w:type="firstCol">
      <w:rPr>
        <w:color w:val="FFFFFF" w:themeColor="background1"/>
        <w14:textFill>
          <w14:solidFill>
            <w14:schemeClr w14:val="bg1"/>
          </w14:solidFill>
        </w14:textFill>
      </w:rPr>
      <w:tblPr/>
      <w:tcPr>
        <w:shd w:val="clear" w:color="auto" w:fill="2D54A0" w:themeFill="accent1" w:themeFillShade="BF"/>
      </w:tcPr>
    </w:tblStylePr>
    <w:tblStylePr w:type="lastCol">
      <w:rPr>
        <w:color w:val="FFFFFF" w:themeColor="background1"/>
        <w14:textFill>
          <w14:solidFill>
            <w14:schemeClr w14:val="bg1"/>
          </w14:solidFill>
        </w14:textFill>
      </w:rPr>
      <w:tblPr/>
      <w:tcPr>
        <w:shd w:val="clear" w:color="auto" w:fill="2D54A0" w:themeFill="accent1" w:themeFillShade="BF"/>
      </w:tc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5D5" w:themeFill="accent2" w:themeFillTint="33"/>
    </w:tcPr>
    <w:tblStylePr w:type="firstRow">
      <w:rPr>
        <w:b/>
        <w:bCs/>
      </w:rPr>
      <w:tblPr/>
      <w:tcPr>
        <w:shd w:val="clear" w:color="auto" w:fill="F8CCAB" w:themeFill="accent2" w:themeFillTint="66"/>
      </w:tcPr>
    </w:tblStylePr>
    <w:tblStylePr w:type="lastRow">
      <w:rPr>
        <w:b/>
        <w:bCs/>
        <w:color w:val="000000" w:themeColor="text1"/>
        <w14:textFill>
          <w14:solidFill>
            <w14:schemeClr w14:val="tx1"/>
          </w14:solidFill>
        </w14:textFill>
      </w:rPr>
      <w:tblPr/>
      <w:tcPr>
        <w:shd w:val="clear" w:color="auto" w:fill="F8CCAB" w:themeFill="accent2" w:themeFillTint="66"/>
      </w:tcPr>
    </w:tblStylePr>
    <w:tblStylePr w:type="firstCol">
      <w:rPr>
        <w:color w:val="FFFFFF" w:themeColor="background1"/>
        <w14:textFill>
          <w14:solidFill>
            <w14:schemeClr w14:val="bg1"/>
          </w14:solidFill>
        </w14:textFill>
      </w:rPr>
      <w:tblPr/>
      <w:tcPr>
        <w:shd w:val="clear" w:color="auto" w:fill="C55E10" w:themeFill="accent2" w:themeFillShade="BF"/>
      </w:tcPr>
    </w:tblStylePr>
    <w:tblStylePr w:type="lastCol">
      <w:rPr>
        <w:color w:val="FFFFFF" w:themeColor="background1"/>
        <w14:textFill>
          <w14:solidFill>
            <w14:schemeClr w14:val="bg1"/>
          </w14:solidFill>
        </w14:textFill>
      </w:rPr>
      <w:tblPr/>
      <w:tcPr>
        <w:shd w:val="clear" w:color="auto" w:fill="C55E10" w:themeFill="accent2" w:themeFillShade="BF"/>
      </w:tc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A" w:themeFill="accent3" w:themeFillTint="33"/>
    </w:tcPr>
    <w:tblStylePr w:type="firstRow">
      <w:rPr>
        <w:b/>
        <w:bCs/>
      </w:rPr>
      <w:tblPr/>
      <w:tcPr>
        <w:shd w:val="clear" w:color="auto" w:fill="FEE595" w:themeFill="accent3" w:themeFillTint="66"/>
      </w:tcPr>
    </w:tblStylePr>
    <w:tblStylePr w:type="lastRow">
      <w:rPr>
        <w:b/>
        <w:bCs/>
        <w:color w:val="000000" w:themeColor="text1"/>
        <w14:textFill>
          <w14:solidFill>
            <w14:schemeClr w14:val="tx1"/>
          </w14:solidFill>
        </w14:textFill>
      </w:rPr>
      <w:tblPr/>
      <w:tcPr>
        <w:shd w:val="clear" w:color="auto" w:fill="FEE595" w:themeFill="accent3" w:themeFillTint="66"/>
      </w:tcPr>
    </w:tblStylePr>
    <w:tblStylePr w:type="firstCol">
      <w:rPr>
        <w:color w:val="FFFFFF" w:themeColor="background1"/>
        <w14:textFill>
          <w14:solidFill>
            <w14:schemeClr w14:val="bg1"/>
          </w14:solidFill>
        </w14:textFill>
      </w:rPr>
      <w:tblPr/>
      <w:tcPr>
        <w:shd w:val="clear" w:color="auto" w:fill="B58B01" w:themeFill="accent3" w:themeFillShade="BF"/>
      </w:tcPr>
    </w:tblStylePr>
    <w:tblStylePr w:type="lastCol">
      <w:rPr>
        <w:color w:val="FFFFFF" w:themeColor="background1"/>
        <w14:textFill>
          <w14:solidFill>
            <w14:schemeClr w14:val="bg1"/>
          </w14:solidFill>
        </w14:textFill>
      </w:rPr>
      <w:tblPr/>
      <w:tcPr>
        <w:shd w:val="clear" w:color="auto" w:fill="B58B01" w:themeFill="accent3" w:themeFillShade="BF"/>
      </w:tc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3F1D9" w:themeFill="accent4" w:themeFillTint="33"/>
    </w:tcPr>
    <w:tblStylePr w:type="firstRow">
      <w:rPr>
        <w:b/>
        <w:bCs/>
      </w:rPr>
      <w:tblPr/>
      <w:tcPr>
        <w:shd w:val="clear" w:color="auto" w:fill="C7E4B3" w:themeFill="accent4" w:themeFillTint="66"/>
      </w:tcPr>
    </w:tblStylePr>
    <w:tblStylePr w:type="lastRow">
      <w:rPr>
        <w:b/>
        <w:bCs/>
        <w:color w:val="000000" w:themeColor="text1"/>
        <w14:textFill>
          <w14:solidFill>
            <w14:schemeClr w14:val="tx1"/>
          </w14:solidFill>
        </w14:textFill>
      </w:rPr>
      <w:tblPr/>
      <w:tcPr>
        <w:shd w:val="clear" w:color="auto" w:fill="C7E4B3" w:themeFill="accent4" w:themeFillTint="66"/>
      </w:tcPr>
    </w:tblStylePr>
    <w:tblStylePr w:type="firstCol">
      <w:rPr>
        <w:color w:val="FFFFFF" w:themeColor="background1"/>
        <w14:textFill>
          <w14:solidFill>
            <w14:schemeClr w14:val="bg1"/>
          </w14:solidFill>
        </w14:textFill>
      </w:rPr>
      <w:tblPr/>
      <w:tcPr>
        <w:shd w:val="clear" w:color="auto" w:fill="578D31" w:themeFill="accent4" w:themeFillShade="BF"/>
      </w:tcPr>
    </w:tblStylePr>
    <w:tblStylePr w:type="lastCol">
      <w:rPr>
        <w:color w:val="FFFFFF" w:themeColor="background1"/>
        <w14:textFill>
          <w14:solidFill>
            <w14:schemeClr w14:val="bg1"/>
          </w14:solidFill>
        </w14:textFill>
      </w:rPr>
      <w:tblPr/>
      <w:tcPr>
        <w:shd w:val="clear" w:color="auto" w:fill="578D31" w:themeFill="accent4" w:themeFillShade="BF"/>
      </w:tc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3F4F1" w:themeFill="accent5" w:themeFillTint="33"/>
    </w:tcPr>
    <w:tblStylePr w:type="firstRow">
      <w:rPr>
        <w:b/>
        <w:bCs/>
      </w:rPr>
      <w:tblPr/>
      <w:tcPr>
        <w:shd w:val="clear" w:color="auto" w:fill="A8E9E3" w:themeFill="accent5" w:themeFillTint="66"/>
      </w:tcPr>
    </w:tblStylePr>
    <w:tblStylePr w:type="lastRow">
      <w:rPr>
        <w:b/>
        <w:bCs/>
        <w:color w:val="000000" w:themeColor="text1"/>
        <w14:textFill>
          <w14:solidFill>
            <w14:schemeClr w14:val="tx1"/>
          </w14:solidFill>
        </w14:textFill>
      </w:rPr>
      <w:tblPr/>
      <w:tcPr>
        <w:shd w:val="clear" w:color="auto" w:fill="A8E9E3" w:themeFill="accent5" w:themeFillTint="66"/>
      </w:tcPr>
    </w:tblStylePr>
    <w:tblStylePr w:type="firstCol">
      <w:rPr>
        <w:color w:val="FFFFFF" w:themeColor="background1"/>
        <w14:textFill>
          <w14:solidFill>
            <w14:schemeClr w14:val="bg1"/>
          </w14:solidFill>
        </w14:textFill>
      </w:rPr>
      <w:tblPr/>
      <w:tcPr>
        <w:shd w:val="clear" w:color="auto" w:fill="238F86" w:themeFill="accent5" w:themeFillShade="BF"/>
      </w:tcPr>
    </w:tblStylePr>
    <w:tblStylePr w:type="lastCol">
      <w:rPr>
        <w:color w:val="FFFFFF" w:themeColor="background1"/>
        <w14:textFill>
          <w14:solidFill>
            <w14:schemeClr w14:val="bg1"/>
          </w14:solidFill>
        </w14:textFill>
      </w:rPr>
      <w:tblPr/>
      <w:tcPr>
        <w:shd w:val="clear" w:color="auto" w:fill="238F86" w:themeFill="accent5" w:themeFillShade="BF"/>
      </w:tc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9DBDE" w:themeFill="accent6" w:themeFillTint="33"/>
    </w:tcPr>
    <w:tblStylePr w:type="firstRow">
      <w:rPr>
        <w:b/>
        <w:bCs/>
      </w:rPr>
      <w:tblPr/>
      <w:tcPr>
        <w:shd w:val="clear" w:color="auto" w:fill="F4B7BE" w:themeFill="accent6" w:themeFillTint="66"/>
      </w:tcPr>
    </w:tblStylePr>
    <w:tblStylePr w:type="lastRow">
      <w:rPr>
        <w:b/>
        <w:bCs/>
        <w:color w:val="000000" w:themeColor="text1"/>
        <w14:textFill>
          <w14:solidFill>
            <w14:schemeClr w14:val="tx1"/>
          </w14:solidFill>
        </w14:textFill>
      </w:rPr>
      <w:tblPr/>
      <w:tcPr>
        <w:shd w:val="clear" w:color="auto" w:fill="F4B7BE" w:themeFill="accent6" w:themeFillTint="66"/>
      </w:tcPr>
    </w:tblStylePr>
    <w:tblStylePr w:type="firstCol">
      <w:rPr>
        <w:color w:val="FFFFFF" w:themeColor="background1"/>
        <w14:textFill>
          <w14:solidFill>
            <w14:schemeClr w14:val="bg1"/>
          </w14:solidFill>
        </w14:textFill>
      </w:rPr>
      <w:tblPr/>
      <w:tcPr>
        <w:shd w:val="clear" w:color="auto" w:fill="C71C31" w:themeFill="accent6" w:themeFillShade="BF"/>
      </w:tcPr>
    </w:tblStylePr>
    <w:tblStylePr w:type="lastCol">
      <w:rPr>
        <w:color w:val="FFFFFF" w:themeColor="background1"/>
        <w14:textFill>
          <w14:solidFill>
            <w14:schemeClr w14:val="bg1"/>
          </w14:solidFill>
        </w14:textFill>
      </w:rPr>
      <w:tblPr/>
      <w:tcPr>
        <w:shd w:val="clear" w:color="auto" w:fill="C71C31" w:themeFill="accent6" w:themeFillShade="BF"/>
      </w:tc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imes New Roman" w:hAnsi="Times New Roman" w:eastAsia="黑体" w:cs="Times New Roman"/>
      <w:color w:val="000000"/>
      <w:kern w:val="44"/>
      <w:sz w:val="32"/>
      <w:szCs w:val="44"/>
    </w:rPr>
  </w:style>
  <w:style w:type="character" w:customStyle="1" w:styleId="140">
    <w:name w:val="Heading 2 Char"/>
    <w:basedOn w:val="133"/>
    <w:qFormat/>
    <w:uiPriority w:val="9"/>
    <w:rPr>
      <w:rFonts w:asciiTheme="majorHAnsi" w:hAnsiTheme="majorHAnsi" w:eastAsiaTheme="majorEastAsia" w:cstheme="majorBidi"/>
      <w:b/>
      <w:bCs/>
      <w:color w:val="4874CB" w:themeColor="accent1"/>
      <w:sz w:val="26"/>
      <w:szCs w:val="26"/>
      <w14:textFill>
        <w14:solidFill>
          <w14:schemeClr w14:val="accent1"/>
        </w14:solidFill>
      </w14:textFill>
    </w:rPr>
  </w:style>
  <w:style w:type="character" w:customStyle="1" w:styleId="141">
    <w:name w:val="Heading 3 Char"/>
    <w:basedOn w:val="133"/>
    <w:qFormat/>
    <w:uiPriority w:val="9"/>
    <w:rPr>
      <w:rFonts w:asciiTheme="majorHAnsi" w:hAnsiTheme="majorHAnsi" w:eastAsiaTheme="majorEastAsia" w:cstheme="majorBidi"/>
      <w:b/>
      <w:bCs/>
      <w:color w:val="4874CB" w:themeColor="accent1"/>
      <w14:textFill>
        <w14:solidFill>
          <w14:schemeClr w14:val="accent1"/>
        </w14:solidFill>
      </w14:textFill>
    </w:rPr>
  </w:style>
  <w:style w:type="character" w:customStyle="1" w:styleId="142">
    <w:name w:val="Title Char"/>
    <w:basedOn w:val="133"/>
    <w:uiPriority w:val="10"/>
    <w:rPr>
      <w:rFonts w:asciiTheme="majorHAnsi" w:hAnsiTheme="majorHAnsi" w:eastAsiaTheme="majorEastAsia" w:cstheme="majorBidi"/>
      <w:color w:val="333F50" w:themeColor="text2" w:themeShade="BF"/>
      <w:spacing w:val="5"/>
      <w:kern w:val="28"/>
      <w:sz w:val="52"/>
      <w:szCs w:val="52"/>
    </w:rPr>
  </w:style>
  <w:style w:type="character" w:customStyle="1" w:styleId="143">
    <w:name w:val="Subtitle Char"/>
    <w:basedOn w:val="133"/>
    <w:qFormat/>
    <w:uiPriority w:val="11"/>
    <w:rPr>
      <w:rFonts w:asciiTheme="majorHAnsi" w:hAnsiTheme="majorHAnsi" w:eastAsiaTheme="majorEastAsia" w:cstheme="majorBidi"/>
      <w:i/>
      <w:iCs/>
      <w:color w:val="4874CB"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uiPriority w:val="99"/>
  </w:style>
  <w:style w:type="character" w:customStyle="1" w:styleId="146">
    <w:name w:val="Body Text 2 Char"/>
    <w:basedOn w:val="133"/>
    <w:link w:val="28"/>
    <w:uiPriority w:val="99"/>
  </w:style>
  <w:style w:type="character" w:customStyle="1" w:styleId="147">
    <w:name w:val="Body Text 3 Char"/>
    <w:basedOn w:val="133"/>
    <w:link w:val="17"/>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imes New Roman" w:hAnsi="Times New Roman" w:eastAsia="黑体" w:cs="Times New Roman"/>
      <w:bCs/>
      <w:kern w:val="2"/>
      <w:sz w:val="28"/>
      <w:szCs w:val="28"/>
    </w:rPr>
  </w:style>
  <w:style w:type="character" w:customStyle="1" w:styleId="152">
    <w:name w:val="Heading 5 Char"/>
    <w:basedOn w:val="133"/>
    <w:link w:val="7"/>
    <w:semiHidden/>
    <w:qFormat/>
    <w:uiPriority w:val="9"/>
    <w:rPr>
      <w:rFonts w:ascii="Times New Roman" w:hAnsi="Times New Roman" w:eastAsia="黑体" w:cs="Times New Roman"/>
      <w:bCs/>
      <w:kern w:val="2"/>
      <w:sz w:val="28"/>
      <w:szCs w:val="28"/>
    </w:rPr>
  </w:style>
  <w:style w:type="character" w:customStyle="1" w:styleId="153">
    <w:name w:val="Heading 6 Char"/>
    <w:basedOn w:val="133"/>
    <w:link w:val="8"/>
    <w:semiHidden/>
    <w:qFormat/>
    <w:uiPriority w:val="9"/>
    <w:rPr>
      <w:rFonts w:ascii="Times New Roman" w:hAnsi="Times New Roman" w:eastAsia="黑体" w:cs="Times New Roman"/>
      <w:bCs/>
      <w:kern w:val="2"/>
      <w:sz w:val="28"/>
      <w:szCs w:val="24"/>
    </w:rPr>
  </w:style>
  <w:style w:type="character" w:customStyle="1" w:styleId="154">
    <w:name w:val="Heading 7 Char"/>
    <w:basedOn w:val="133"/>
    <w:link w:val="9"/>
    <w:semiHidden/>
    <w:qFormat/>
    <w:uiPriority w:val="9"/>
    <w:rPr>
      <w:rFonts w:ascii="Times New Roman" w:hAnsi="Times New Roman" w:eastAsia="黑体" w:cs="Times New Roman"/>
      <w:bCs/>
      <w:kern w:val="2"/>
      <w:sz w:val="24"/>
      <w:szCs w:val="24"/>
    </w:rPr>
  </w:style>
  <w:style w:type="character" w:customStyle="1" w:styleId="155">
    <w:name w:val="Heading 8 Char"/>
    <w:basedOn w:val="133"/>
    <w:link w:val="10"/>
    <w:semiHidden/>
    <w:qFormat/>
    <w:uiPriority w:val="9"/>
    <w:rPr>
      <w:rFonts w:ascii="Times New Roman" w:hAnsi="Times New Roman" w:eastAsia="黑体" w:cs="Times New Roman"/>
      <w:kern w:val="2"/>
      <w:sz w:val="24"/>
      <w:szCs w:val="24"/>
    </w:rPr>
  </w:style>
  <w:style w:type="character" w:customStyle="1" w:styleId="156">
    <w:name w:val="Heading 9 Char"/>
    <w:basedOn w:val="133"/>
    <w:link w:val="11"/>
    <w:semiHidden/>
    <w:uiPriority w:val="9"/>
    <w:rPr>
      <w:rFonts w:ascii="Times New Roman" w:hAnsi="Times New Roman" w:eastAsia="黑体" w:cs="Times New Roman"/>
      <w:kern w:val="2"/>
      <w:sz w:val="21"/>
      <w:szCs w:val="21"/>
    </w:rPr>
  </w:style>
  <w:style w:type="paragraph" w:styleId="157">
    <w:name w:val="Intense Quote"/>
    <w:basedOn w:val="1"/>
    <w:next w:val="1"/>
    <w:link w:val="158"/>
    <w:qFormat/>
    <w:uiPriority w:val="30"/>
    <w:pPr>
      <w:pBdr>
        <w:bottom w:val="single" w:color="4874CB" w:themeColor="accent1" w:sz="4" w:space="4"/>
      </w:pBdr>
      <w:spacing w:before="200" w:after="280"/>
      <w:ind w:left="936" w:right="936"/>
    </w:pPr>
    <w:rPr>
      <w:b/>
      <w:bCs/>
      <w:i/>
      <w:iCs/>
      <w:color w:val="4874CB" w:themeColor="accent1"/>
      <w14:textFill>
        <w14:solidFill>
          <w14:schemeClr w14:val="accent1"/>
        </w14:solidFill>
      </w14:textFill>
    </w:rPr>
  </w:style>
  <w:style w:type="character" w:customStyle="1" w:styleId="158">
    <w:name w:val="Intense Quote Char"/>
    <w:basedOn w:val="133"/>
    <w:link w:val="157"/>
    <w:uiPriority w:val="30"/>
    <w:rPr>
      <w:b/>
      <w:bCs/>
      <w:i/>
      <w:iCs/>
      <w:color w:val="4874CB"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874CB" w:themeColor="accent1"/>
      <w14:textFill>
        <w14:solidFill>
          <w14:schemeClr w14:val="accent1"/>
        </w14:solidFill>
      </w14:textFill>
    </w:rPr>
  </w:style>
  <w:style w:type="character" w:customStyle="1" w:styleId="161">
    <w:name w:val="Subtle Reference"/>
    <w:basedOn w:val="133"/>
    <w:qFormat/>
    <w:uiPriority w:val="31"/>
    <w:rPr>
      <w:smallCaps/>
      <w:color w:val="EE822F" w:themeColor="accent2"/>
      <w:u w:val="single"/>
      <w14:textFill>
        <w14:solidFill>
          <w14:schemeClr w14:val="accent2"/>
        </w14:solidFill>
      </w14:textFill>
    </w:rPr>
  </w:style>
  <w:style w:type="character" w:customStyle="1" w:styleId="162">
    <w:name w:val="Intense Reference"/>
    <w:basedOn w:val="133"/>
    <w:qFormat/>
    <w:uiPriority w:val="32"/>
    <w:rPr>
      <w:b/>
      <w:bCs/>
      <w:smallCaps/>
      <w:color w:val="EE822F"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2746</Words>
  <Characters>3164</Characters>
  <Lines>0</Lines>
  <Paragraphs>0</Paragraphs>
  <TotalTime>39</TotalTime>
  <ScaleCrop>false</ScaleCrop>
  <LinksUpToDate>false</LinksUpToDate>
  <CharactersWithSpaces>3317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13853132277</cp:lastModifiedBy>
  <cp:lastPrinted>2026-08-31T03:41:00Z</cp:lastPrinted>
  <dcterms:modified xsi:type="dcterms:W3CDTF">2026-09-22T03:00:00Z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eyJoZGlkIjoiM2I1MTgxNTUyMTYyZTgyNGNjMWIxNGIxZDEyMGFlODciLCJ1c2VySWQiOiI0NzI5MTQ2In0=</vt:lpwstr>
  </property>
  <property fmtid="{D5CDD505-2E9C-101B-9397-08002B2CF9AE}" pid="3" name="KSOProductBuildVer">
    <vt:lpwstr>2052-12.1.0.28505</vt:lpwstr>
  </property>
  <property fmtid="{D5CDD505-2E9C-101B-9397-08002B2CF9AE}" pid="4" name="ICV">
    <vt:lpwstr>07CC5FE0DD0347BEB39EC040E9E8649B_12</vt:lpwstr>
  </property>
</Properties>
</file>