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 w:afterAutospacing="0" w:line="600" w:lineRule="atLeast"/>
        <w:ind w:left="0" w:right="0" w:firstLine="420"/>
        <w:jc w:val="left"/>
        <w:rPr>
          <w:rFonts w:ascii="仿宋" w:hAnsi="仿宋" w:eastAsia="仿宋" w:cs="仿宋"/>
          <w:b w:val="0"/>
          <w:i w:val="0"/>
          <w:caps w:val="0"/>
          <w:color w:val="000000"/>
          <w:spacing w:val="0"/>
          <w:sz w:val="30"/>
          <w:szCs w:val="30"/>
        </w:rPr>
      </w:pPr>
      <w:bookmarkStart w:id="0" w:name="_GoBack"/>
      <w:bookmarkEnd w:id="0"/>
      <w:r>
        <w:rPr>
          <w:rFonts w:hint="eastAsia" w:ascii="仿宋" w:hAnsi="仿宋" w:eastAsia="仿宋" w:cs="仿宋"/>
          <w:b w:val="0"/>
          <w:i w:val="0"/>
          <w:caps w:val="0"/>
          <w:color w:val="000000"/>
          <w:spacing w:val="0"/>
          <w:sz w:val="30"/>
          <w:szCs w:val="30"/>
          <w:bdr w:val="none" w:color="auto" w:sz="0" w:space="0"/>
        </w:rPr>
        <w:t> </w:t>
      </w:r>
    </w:p>
    <w:tbl>
      <w:tblPr>
        <w:tblStyle w:val="4"/>
        <w:tblW w:w="8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1800"/>
        <w:gridCol w:w="779"/>
        <w:gridCol w:w="55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tabs>
                <w:tab w:val="left" w:pos="180"/>
                <w:tab w:val="left" w:pos="1620"/>
              </w:tabs>
              <w:spacing w:line="300" w:lineRule="auto"/>
              <w:jc w:val="center"/>
              <w:rPr>
                <w:rFonts w:hint="eastAsia" w:ascii="宋体" w:hAnsi="宋体"/>
                <w:szCs w:val="21"/>
              </w:rPr>
            </w:pPr>
            <w:r>
              <w:rPr>
                <w:rFonts w:hint="eastAsia" w:ascii="宋体" w:hAnsi="宋体"/>
                <w:szCs w:val="21"/>
              </w:rPr>
              <w:t>序号</w:t>
            </w:r>
          </w:p>
        </w:tc>
        <w:tc>
          <w:tcPr>
            <w:tcW w:w="1800" w:type="dxa"/>
            <w:vAlign w:val="center"/>
          </w:tcPr>
          <w:p>
            <w:pPr>
              <w:tabs>
                <w:tab w:val="left" w:pos="180"/>
                <w:tab w:val="left" w:pos="1620"/>
              </w:tabs>
              <w:spacing w:line="300" w:lineRule="auto"/>
              <w:jc w:val="center"/>
              <w:rPr>
                <w:rFonts w:hint="eastAsia" w:ascii="宋体" w:hAnsi="宋体"/>
                <w:szCs w:val="21"/>
              </w:rPr>
            </w:pPr>
            <w:r>
              <w:rPr>
                <w:rFonts w:hint="eastAsia" w:ascii="宋体" w:hAnsi="宋体"/>
                <w:szCs w:val="21"/>
              </w:rPr>
              <w:t>货 物 名 称</w:t>
            </w:r>
          </w:p>
        </w:tc>
        <w:tc>
          <w:tcPr>
            <w:tcW w:w="779" w:type="dxa"/>
            <w:vAlign w:val="center"/>
          </w:tcPr>
          <w:p>
            <w:pPr>
              <w:tabs>
                <w:tab w:val="left" w:pos="180"/>
                <w:tab w:val="left" w:pos="1620"/>
              </w:tabs>
              <w:spacing w:line="300" w:lineRule="auto"/>
              <w:jc w:val="center"/>
              <w:rPr>
                <w:rFonts w:hint="eastAsia" w:ascii="宋体" w:hAnsi="宋体"/>
                <w:szCs w:val="21"/>
              </w:rPr>
            </w:pPr>
            <w:r>
              <w:rPr>
                <w:rFonts w:hint="eastAsia" w:ascii="宋体" w:hAnsi="宋体"/>
                <w:szCs w:val="21"/>
              </w:rPr>
              <w:t>数量</w:t>
            </w:r>
          </w:p>
        </w:tc>
        <w:tc>
          <w:tcPr>
            <w:tcW w:w="5521" w:type="dxa"/>
            <w:vAlign w:val="center"/>
          </w:tcPr>
          <w:p>
            <w:pPr>
              <w:tabs>
                <w:tab w:val="left" w:pos="180"/>
                <w:tab w:val="left" w:pos="1620"/>
              </w:tabs>
              <w:spacing w:line="300" w:lineRule="auto"/>
              <w:jc w:val="center"/>
              <w:rPr>
                <w:rFonts w:hint="eastAsia" w:ascii="宋体" w:hAnsi="宋体"/>
                <w:szCs w:val="21"/>
              </w:rPr>
            </w:pPr>
            <w:r>
              <w:rPr>
                <w:rFonts w:hint="eastAsia" w:ascii="宋体" w:hAnsi="宋体"/>
                <w:szCs w:val="21"/>
              </w:rPr>
              <w:t>技术参数及性能配置要求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1</w:t>
            </w:r>
          </w:p>
        </w:tc>
        <w:tc>
          <w:tcPr>
            <w:tcW w:w="1800" w:type="dxa"/>
            <w:vAlign w:val="center"/>
          </w:tcPr>
          <w:p>
            <w:pPr>
              <w:snapToGrid w:val="0"/>
              <w:spacing w:line="320" w:lineRule="exact"/>
              <w:rPr>
                <w:rFonts w:hint="eastAsia" w:ascii="宋体" w:hAnsi="宋体"/>
                <w:szCs w:val="21"/>
              </w:rPr>
            </w:pPr>
            <w:r>
              <w:rPr>
                <w:rFonts w:hint="eastAsia" w:ascii="宋体" w:hAnsi="宋体" w:cs="Arial"/>
                <w:bCs/>
                <w:szCs w:val="21"/>
              </w:rPr>
              <w:t>手铐</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副</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说明：手铐由外筒、球头、连接轴、连接扣、O形圈、锁筒、夹板，扇齿等主要零部件组成,采用链式连接用于束缚手腕的的环形金属械具。</w:t>
            </w:r>
          </w:p>
          <w:p>
            <w:pPr>
              <w:snapToGrid w:val="0"/>
              <w:spacing w:line="320" w:lineRule="exact"/>
              <w:jc w:val="left"/>
              <w:rPr>
                <w:rFonts w:hint="eastAsia" w:ascii="宋体" w:hAnsi="宋体"/>
                <w:szCs w:val="21"/>
              </w:rPr>
            </w:pPr>
            <w:r>
              <w:rPr>
                <w:rFonts w:hint="eastAsia" w:ascii="宋体" w:hAnsi="宋体"/>
                <w:szCs w:val="21"/>
              </w:rPr>
              <w:t>技术参数：</w:t>
            </w:r>
          </w:p>
          <w:p>
            <w:pPr>
              <w:snapToGrid w:val="0"/>
              <w:spacing w:line="320" w:lineRule="exact"/>
              <w:jc w:val="left"/>
              <w:rPr>
                <w:rFonts w:hint="eastAsia" w:ascii="宋体" w:hAnsi="宋体"/>
                <w:szCs w:val="21"/>
              </w:rPr>
            </w:pPr>
            <w:r>
              <w:rPr>
                <w:rFonts w:hint="eastAsia" w:ascii="宋体" w:hAnsi="宋体"/>
                <w:szCs w:val="21"/>
              </w:rPr>
              <w:t>1、主要材料：外筒采用Q195直缝电焊钢管；球头、连接轴、连接扣、O行圈采用Q235冷拉圆钢丝；锁筒采用10冷拉圆钢；夹板采用65Mn冷轧钢板；扇齿采用ZG45熔模铸件；</w:t>
            </w:r>
          </w:p>
          <w:p>
            <w:pPr>
              <w:snapToGrid w:val="0"/>
              <w:spacing w:line="320" w:lineRule="exact"/>
              <w:jc w:val="left"/>
              <w:rPr>
                <w:rFonts w:hint="eastAsia" w:ascii="宋体" w:hAnsi="宋体"/>
                <w:szCs w:val="21"/>
              </w:rPr>
            </w:pPr>
            <w:r>
              <w:rPr>
                <w:rFonts w:hint="eastAsia" w:ascii="宋体" w:hAnsi="宋体"/>
                <w:szCs w:val="21"/>
              </w:rPr>
              <w:t>2、外观：颜色为银白色金属光泽；金属手铐表面光亮、色泽均匀，无脱壳、起泡等缺陷，各连接部位应光滑整齐；每支铐体上的硬印不超过4处，每处面积不大于3㎜</w:t>
            </w:r>
            <w:r>
              <w:rPr>
                <w:rFonts w:hint="eastAsia" w:ascii="宋体" w:hAnsi="宋体"/>
                <w:szCs w:val="21"/>
                <w:vertAlign w:val="superscript"/>
              </w:rPr>
              <w:t>2</w:t>
            </w:r>
            <w:r>
              <w:rPr>
                <w:rFonts w:hint="eastAsia" w:ascii="宋体" w:hAnsi="宋体"/>
                <w:szCs w:val="21"/>
              </w:rPr>
              <w:t>且不得集中在同一表面,左右铐体形状一致，无明显弯曲变形；扇齿齿形应完整，边角圆滑整齐，每只扇齿上的硬印不超过2处，每处面积不大于3㎜</w:t>
            </w:r>
            <w:r>
              <w:rPr>
                <w:rFonts w:hint="eastAsia" w:ascii="宋体" w:hAnsi="宋体"/>
                <w:szCs w:val="21"/>
                <w:vertAlign w:val="superscript"/>
              </w:rPr>
              <w:t>2</w:t>
            </w:r>
            <w:r>
              <w:rPr>
                <w:rFonts w:hint="eastAsia" w:ascii="宋体" w:hAnsi="宋体"/>
                <w:szCs w:val="21"/>
              </w:rPr>
              <w:t>，且不得集中在同一表面。</w:t>
            </w:r>
          </w:p>
          <w:p>
            <w:pPr>
              <w:snapToGrid w:val="0"/>
              <w:spacing w:line="320" w:lineRule="exact"/>
              <w:jc w:val="left"/>
              <w:rPr>
                <w:rFonts w:hint="eastAsia" w:ascii="宋体" w:hAnsi="宋体"/>
                <w:szCs w:val="21"/>
              </w:rPr>
            </w:pPr>
            <w:r>
              <w:rPr>
                <w:rFonts w:hint="eastAsia" w:ascii="宋体" w:hAnsi="宋体"/>
                <w:szCs w:val="21"/>
              </w:rPr>
              <w:t>3、重量：手铐（不带钥匙和包装）重量约380g。</w:t>
            </w:r>
          </w:p>
          <w:p>
            <w:pPr>
              <w:snapToGrid w:val="0"/>
              <w:spacing w:line="320" w:lineRule="exact"/>
              <w:jc w:val="left"/>
              <w:rPr>
                <w:rFonts w:hint="eastAsia" w:ascii="宋体" w:hAnsi="宋体"/>
                <w:szCs w:val="21"/>
              </w:rPr>
            </w:pPr>
            <w:r>
              <w:rPr>
                <w:rFonts w:hint="eastAsia" w:ascii="宋体" w:hAnsi="宋体"/>
                <w:szCs w:val="21"/>
              </w:rPr>
              <w:t>4、灵活性、安全性：锁闭时应灵活、轻松，方便上铐，钥匙应能自然插入金属手铐的锁芯，且旋转灵活，无阻滞现象；金属手铐在反锁定位状态时，扇齿不能转动；锁闭时，防拨净工作时间大于2min。产品锁闭时，从2m高处跌落至水泥地面后，能正常开启、锁闭和反锁定位。</w:t>
            </w:r>
          </w:p>
          <w:p>
            <w:pPr>
              <w:snapToGrid w:val="0"/>
              <w:spacing w:line="320" w:lineRule="exact"/>
              <w:jc w:val="left"/>
              <w:rPr>
                <w:rFonts w:hint="eastAsia" w:ascii="宋体" w:hAnsi="宋体"/>
                <w:szCs w:val="21"/>
              </w:rPr>
            </w:pPr>
            <w:r>
              <w:rPr>
                <w:rFonts w:hint="eastAsia" w:ascii="宋体" w:hAnsi="宋体"/>
                <w:szCs w:val="21"/>
              </w:rPr>
              <w:t>5、工作次数大于6000次循环。</w:t>
            </w:r>
          </w:p>
          <w:p>
            <w:pPr>
              <w:snapToGrid w:val="0"/>
              <w:spacing w:line="320" w:lineRule="exact"/>
              <w:jc w:val="left"/>
              <w:rPr>
                <w:rFonts w:hint="eastAsia" w:ascii="宋体" w:hAnsi="宋体"/>
                <w:szCs w:val="21"/>
              </w:rPr>
            </w:pPr>
            <w:r>
              <w:rPr>
                <w:rFonts w:hint="eastAsia" w:ascii="宋体" w:hAnsi="宋体"/>
                <w:szCs w:val="21"/>
              </w:rPr>
              <w:t>6、金属手铐能承受纵向和横向静拉力2200N，明装铆钉能承受静压力不小于2940N。</w:t>
            </w:r>
          </w:p>
          <w:p>
            <w:pPr>
              <w:snapToGrid w:val="0"/>
              <w:spacing w:line="320" w:lineRule="exact"/>
              <w:jc w:val="left"/>
              <w:rPr>
                <w:rFonts w:hint="eastAsia" w:ascii="宋体" w:hAnsi="宋体"/>
                <w:szCs w:val="21"/>
              </w:rPr>
            </w:pPr>
            <w:r>
              <w:rPr>
                <w:rFonts w:hint="eastAsia" w:ascii="宋体" w:hAnsi="宋体"/>
                <w:szCs w:val="21"/>
              </w:rPr>
              <w:t xml:space="preserve">7、耐腐蚀性等级为8级，喷雾周期约为12h.。                                                                                                 </w:t>
            </w:r>
          </w:p>
          <w:p>
            <w:pPr>
              <w:snapToGrid w:val="0"/>
              <w:spacing w:line="320" w:lineRule="exact"/>
              <w:jc w:val="left"/>
              <w:rPr>
                <w:rFonts w:hint="eastAsia" w:ascii="宋体" w:hAnsi="宋体"/>
                <w:szCs w:val="21"/>
              </w:rPr>
            </w:pPr>
            <w:r>
              <w:rPr>
                <w:rFonts w:hint="eastAsia" w:ascii="宋体" w:hAnsi="宋体"/>
                <w:szCs w:val="21"/>
              </w:rPr>
              <w:t xml:space="preserve">8、每副手铐提供240万以上的保险，在相应文件中提供保险公司证明凭证并加盖供应商公章，在响应文件中提供相关购买保险证明复印件并加盖供应商公章。 </w:t>
            </w:r>
          </w:p>
          <w:p>
            <w:pPr>
              <w:snapToGrid w:val="0"/>
              <w:spacing w:line="320" w:lineRule="exact"/>
              <w:jc w:val="left"/>
              <w:rPr>
                <w:rFonts w:hint="eastAsia" w:ascii="宋体" w:hAnsi="宋体"/>
                <w:b/>
                <w:bCs/>
                <w:szCs w:val="21"/>
              </w:rPr>
            </w:pPr>
            <w:r>
              <w:rPr>
                <w:rFonts w:hint="eastAsia" w:ascii="宋体" w:hAnsi="宋体"/>
                <w:b/>
                <w:bCs/>
                <w:szCs w:val="21"/>
              </w:rPr>
              <w:t>执行标准：《GA172-2014  金属手铐》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2</w:t>
            </w:r>
          </w:p>
        </w:tc>
        <w:tc>
          <w:tcPr>
            <w:tcW w:w="1800" w:type="dxa"/>
            <w:vAlign w:val="center"/>
          </w:tcPr>
          <w:p>
            <w:pPr>
              <w:snapToGrid w:val="0"/>
              <w:spacing w:line="320" w:lineRule="exact"/>
              <w:rPr>
                <w:rFonts w:hint="eastAsia" w:ascii="宋体" w:hAnsi="宋体"/>
                <w:szCs w:val="21"/>
              </w:rPr>
            </w:pPr>
            <w:r>
              <w:rPr>
                <w:rFonts w:hint="eastAsia" w:ascii="宋体" w:hAnsi="宋体" w:cs="Arial"/>
                <w:bCs/>
                <w:szCs w:val="21"/>
              </w:rPr>
              <w:t>警用强光手电</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个</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尺寸：总长度：约150mm</w:t>
            </w:r>
          </w:p>
          <w:p>
            <w:pPr>
              <w:snapToGrid w:val="0"/>
              <w:spacing w:line="320" w:lineRule="exact"/>
              <w:jc w:val="left"/>
              <w:rPr>
                <w:rFonts w:hint="eastAsia" w:ascii="宋体" w:hAnsi="宋体"/>
                <w:szCs w:val="21"/>
              </w:rPr>
            </w:pPr>
            <w:r>
              <w:rPr>
                <w:rFonts w:hint="eastAsia" w:ascii="宋体" w:hAnsi="宋体"/>
                <w:szCs w:val="21"/>
              </w:rPr>
              <w:t xml:space="preserve">      握柄直径：约Ф26.5mm</w:t>
            </w:r>
          </w:p>
          <w:p>
            <w:pPr>
              <w:snapToGrid w:val="0"/>
              <w:spacing w:line="320" w:lineRule="exact"/>
              <w:jc w:val="left"/>
              <w:rPr>
                <w:rFonts w:hint="eastAsia" w:ascii="宋体" w:hAnsi="宋体"/>
                <w:szCs w:val="21"/>
              </w:rPr>
            </w:pPr>
            <w:r>
              <w:rPr>
                <w:rFonts w:hint="eastAsia" w:ascii="宋体" w:hAnsi="宋体"/>
                <w:szCs w:val="21"/>
              </w:rPr>
              <w:t xml:space="preserve">      头盖外径：约Ф35.0mm</w:t>
            </w:r>
          </w:p>
          <w:p>
            <w:pPr>
              <w:snapToGrid w:val="0"/>
              <w:spacing w:line="320" w:lineRule="exact"/>
              <w:jc w:val="left"/>
              <w:rPr>
                <w:rFonts w:hint="eastAsia" w:ascii="宋体" w:hAnsi="宋体"/>
                <w:szCs w:val="21"/>
              </w:rPr>
            </w:pPr>
            <w:r>
              <w:rPr>
                <w:rFonts w:hint="eastAsia" w:ascii="宋体" w:hAnsi="宋体"/>
                <w:szCs w:val="21"/>
              </w:rPr>
              <w:t>重量：（含重量50克±2克，约2400mah的锂电池）：约208g ；</w:t>
            </w:r>
          </w:p>
          <w:p>
            <w:pPr>
              <w:snapToGrid w:val="0"/>
              <w:spacing w:line="320" w:lineRule="exact"/>
              <w:jc w:val="left"/>
              <w:rPr>
                <w:rFonts w:hint="eastAsia" w:ascii="宋体" w:hAnsi="宋体"/>
                <w:szCs w:val="21"/>
              </w:rPr>
            </w:pPr>
            <w:r>
              <w:rPr>
                <w:rFonts w:hint="eastAsia" w:ascii="宋体" w:hAnsi="宋体"/>
                <w:szCs w:val="21"/>
              </w:rPr>
              <w:t>外观：黑底白字，洁净无变形，无毛刺；表面文字清晰完整位置准确。主体表面经硬质阳极氧化处理；</w:t>
            </w:r>
          </w:p>
          <w:p>
            <w:pPr>
              <w:snapToGrid w:val="0"/>
              <w:spacing w:line="320" w:lineRule="exact"/>
              <w:jc w:val="left"/>
              <w:rPr>
                <w:rFonts w:hint="eastAsia" w:ascii="宋体" w:hAnsi="宋体"/>
                <w:szCs w:val="21"/>
              </w:rPr>
            </w:pPr>
            <w:r>
              <w:rPr>
                <w:rFonts w:hint="eastAsia" w:ascii="宋体" w:hAnsi="宋体"/>
                <w:szCs w:val="21"/>
              </w:rPr>
              <w:t>结构：强光手电为前置开关、防滚动圆柱形结构，由六角攻击头盖、照明单元、握柄（包括开关充电组件）、电池（直径：18.2mm±0.5mm、长度：69mm±2mm；正负极位于电池两端且具有极性标识）、尾盖及挂绳六部分组成。</w:t>
            </w:r>
          </w:p>
          <w:p>
            <w:pPr>
              <w:snapToGrid w:val="0"/>
              <w:spacing w:line="320" w:lineRule="exact"/>
              <w:jc w:val="left"/>
              <w:rPr>
                <w:rFonts w:hint="eastAsia" w:ascii="宋体" w:hAnsi="宋体"/>
                <w:szCs w:val="21"/>
              </w:rPr>
            </w:pPr>
            <w:r>
              <w:rPr>
                <w:rFonts w:hint="eastAsia" w:ascii="宋体" w:hAnsi="宋体"/>
                <w:szCs w:val="21"/>
              </w:rPr>
              <w:t>开关模式：在强光、弱光、强光爆闪模式下转换，在任何模式下均可直接关闭手电；</w:t>
            </w:r>
          </w:p>
          <w:p>
            <w:pPr>
              <w:snapToGrid w:val="0"/>
              <w:spacing w:line="320" w:lineRule="exact"/>
              <w:jc w:val="left"/>
              <w:rPr>
                <w:rFonts w:hint="eastAsia" w:ascii="宋体" w:hAnsi="宋体"/>
                <w:szCs w:val="21"/>
              </w:rPr>
            </w:pPr>
            <w:r>
              <w:rPr>
                <w:rFonts w:hint="eastAsia" w:ascii="宋体" w:hAnsi="宋体"/>
                <w:szCs w:val="21"/>
              </w:rPr>
              <w:t>照度检验：强光模式据光源约5m处中心光斑初始照度为约2231x，弱光模式据光源约5m处中心光斑初始照度为约2201x；</w:t>
            </w:r>
          </w:p>
          <w:p>
            <w:pPr>
              <w:snapToGrid w:val="0"/>
              <w:spacing w:line="320" w:lineRule="exact"/>
              <w:jc w:val="left"/>
              <w:rPr>
                <w:rFonts w:hint="eastAsia" w:ascii="宋体" w:hAnsi="宋体"/>
                <w:szCs w:val="21"/>
              </w:rPr>
            </w:pPr>
            <w:r>
              <w:rPr>
                <w:rFonts w:hint="eastAsia" w:ascii="宋体" w:hAnsi="宋体"/>
                <w:szCs w:val="21"/>
              </w:rPr>
              <w:t>强光爆闪频率：约8.9Hz</w:t>
            </w:r>
          </w:p>
          <w:p>
            <w:pPr>
              <w:snapToGrid w:val="0"/>
              <w:spacing w:line="320" w:lineRule="exact"/>
              <w:jc w:val="left"/>
              <w:rPr>
                <w:rFonts w:hint="eastAsia" w:ascii="宋体" w:hAnsi="宋体"/>
                <w:szCs w:val="21"/>
              </w:rPr>
            </w:pPr>
            <w:r>
              <w:rPr>
                <w:rFonts w:hint="eastAsia" w:ascii="宋体" w:hAnsi="宋体"/>
                <w:szCs w:val="21"/>
              </w:rPr>
              <w:t>光束角：约4°，光强分布以手电光轴呈旋转对称分布。</w:t>
            </w:r>
          </w:p>
          <w:p>
            <w:pPr>
              <w:snapToGrid w:val="0"/>
              <w:spacing w:line="320" w:lineRule="exact"/>
              <w:jc w:val="left"/>
              <w:rPr>
                <w:rFonts w:hint="eastAsia" w:ascii="宋体" w:hAnsi="宋体"/>
                <w:szCs w:val="21"/>
              </w:rPr>
            </w:pPr>
            <w:r>
              <w:rPr>
                <w:rFonts w:hint="eastAsia" w:ascii="宋体" w:hAnsi="宋体"/>
                <w:szCs w:val="21"/>
              </w:rPr>
              <w:t>防水性能：常温条件下，手电在强光状态下置于水深约0.5米处1小时后不影响使用。</w:t>
            </w:r>
          </w:p>
          <w:p>
            <w:pPr>
              <w:snapToGrid w:val="0"/>
              <w:spacing w:line="320" w:lineRule="exact"/>
              <w:jc w:val="left"/>
              <w:rPr>
                <w:rFonts w:hint="eastAsia" w:ascii="宋体" w:hAnsi="宋体"/>
                <w:szCs w:val="21"/>
              </w:rPr>
            </w:pPr>
            <w:r>
              <w:rPr>
                <w:rFonts w:hint="eastAsia" w:ascii="宋体" w:hAnsi="宋体"/>
                <w:szCs w:val="21"/>
              </w:rPr>
              <w:t xml:space="preserve">电池保护功能：锂离子可充电电池应具有过充保护功能，充电截止电压为4.2V±0.15V。                                                                                                  </w:t>
            </w:r>
          </w:p>
          <w:p>
            <w:pPr>
              <w:snapToGrid w:val="0"/>
              <w:spacing w:line="320" w:lineRule="exact"/>
              <w:jc w:val="left"/>
              <w:rPr>
                <w:rFonts w:hint="eastAsia" w:ascii="宋体" w:hAnsi="宋体"/>
                <w:b/>
                <w:bCs/>
                <w:szCs w:val="21"/>
              </w:rPr>
            </w:pPr>
            <w:r>
              <w:rPr>
                <w:rFonts w:hint="eastAsia" w:ascii="宋体" w:hAnsi="宋体"/>
                <w:b/>
                <w:bCs/>
                <w:szCs w:val="21"/>
              </w:rPr>
              <w:t>执行标准：《GA 883-2010 公安单警装备 警用强光手电》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3</w:t>
            </w:r>
          </w:p>
        </w:tc>
        <w:tc>
          <w:tcPr>
            <w:tcW w:w="1800" w:type="dxa"/>
            <w:vAlign w:val="center"/>
          </w:tcPr>
          <w:p>
            <w:pPr>
              <w:snapToGrid w:val="0"/>
              <w:spacing w:line="320" w:lineRule="exact"/>
              <w:rPr>
                <w:rFonts w:hint="eastAsia" w:ascii="宋体" w:hAnsi="宋体"/>
                <w:szCs w:val="21"/>
              </w:rPr>
            </w:pPr>
            <w:r>
              <w:rPr>
                <w:rFonts w:hint="eastAsia"/>
                <w:kern w:val="0"/>
                <w:szCs w:val="21"/>
              </w:rPr>
              <w:t>警用水壶（保温）</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只</w:t>
            </w:r>
          </w:p>
        </w:tc>
        <w:tc>
          <w:tcPr>
            <w:tcW w:w="5521" w:type="dxa"/>
            <w:vAlign w:val="center"/>
          </w:tcPr>
          <w:p>
            <w:pPr>
              <w:snapToGrid w:val="0"/>
              <w:spacing w:line="320" w:lineRule="exact"/>
              <w:jc w:val="left"/>
              <w:rPr>
                <w:rFonts w:hint="eastAsia" w:ascii="Arial" w:hAnsi="Arial" w:cs="Arial"/>
                <w:szCs w:val="21"/>
              </w:rPr>
            </w:pPr>
            <w:r>
              <w:rPr>
                <w:rFonts w:hint="eastAsia" w:ascii="Arial" w:hAnsi="Arial" w:cs="Arial"/>
                <w:szCs w:val="21"/>
              </w:rPr>
              <w:t>说明：采用扁形真空结构；使用不锈钢材料制成，其抗压和保温性能高，容积约500毫升。</w:t>
            </w:r>
          </w:p>
          <w:p>
            <w:pPr>
              <w:snapToGrid w:val="0"/>
              <w:spacing w:line="320" w:lineRule="exact"/>
              <w:jc w:val="left"/>
              <w:rPr>
                <w:rFonts w:hint="eastAsia" w:ascii="Arial" w:hAnsi="Arial" w:cs="Arial"/>
                <w:szCs w:val="21"/>
              </w:rPr>
            </w:pPr>
            <w:r>
              <w:rPr>
                <w:rFonts w:hint="eastAsia" w:ascii="Arial" w:hAnsi="Arial" w:cs="Arial"/>
                <w:szCs w:val="21"/>
              </w:rPr>
              <w:t>技术参数：</w:t>
            </w:r>
          </w:p>
          <w:p>
            <w:pPr>
              <w:snapToGrid w:val="0"/>
              <w:spacing w:line="320" w:lineRule="exact"/>
              <w:jc w:val="left"/>
              <w:rPr>
                <w:rFonts w:hint="eastAsia" w:ascii="Arial" w:hAnsi="Arial" w:cs="Arial"/>
                <w:szCs w:val="21"/>
              </w:rPr>
            </w:pPr>
            <w:r>
              <w:rPr>
                <w:rFonts w:hint="eastAsia" w:ascii="Arial" w:hAnsi="Arial" w:cs="Arial"/>
                <w:szCs w:val="21"/>
              </w:rPr>
              <w:t>1、体积小、重量轻、容量大,采用无尾高真空焊接流水线生产技术，真空寿命可保持8年以上；</w:t>
            </w:r>
          </w:p>
          <w:p>
            <w:pPr>
              <w:snapToGrid w:val="0"/>
              <w:spacing w:line="320" w:lineRule="exact"/>
              <w:jc w:val="left"/>
              <w:rPr>
                <w:rFonts w:hint="eastAsia" w:ascii="Arial" w:hAnsi="Arial" w:cs="Arial"/>
                <w:szCs w:val="21"/>
              </w:rPr>
            </w:pPr>
            <w:r>
              <w:rPr>
                <w:rFonts w:hint="eastAsia" w:ascii="Arial" w:hAnsi="Arial" w:cs="Arial"/>
                <w:szCs w:val="21"/>
              </w:rPr>
              <w:t>2、在常温环境下（20℃左右），注入95℃以上的水500毫升8小时后保温性能达60℃以上,24小时后达40℃以上；</w:t>
            </w:r>
          </w:p>
          <w:p>
            <w:pPr>
              <w:snapToGrid w:val="0"/>
              <w:spacing w:line="320" w:lineRule="exact"/>
              <w:jc w:val="left"/>
              <w:rPr>
                <w:rFonts w:hint="eastAsia" w:ascii="Arial" w:hAnsi="Arial" w:cs="Arial"/>
                <w:szCs w:val="21"/>
              </w:rPr>
            </w:pPr>
            <w:r>
              <w:rPr>
                <w:rFonts w:hint="eastAsia" w:ascii="Arial" w:hAnsi="Arial" w:cs="Arial"/>
                <w:szCs w:val="21"/>
              </w:rPr>
              <w:t>3、使用不锈钢材料制成，容积500毫升；</w:t>
            </w:r>
          </w:p>
          <w:p>
            <w:pPr>
              <w:snapToGrid w:val="0"/>
              <w:spacing w:line="320" w:lineRule="exact"/>
              <w:jc w:val="left"/>
              <w:rPr>
                <w:rFonts w:hint="eastAsia" w:ascii="Arial" w:hAnsi="Arial" w:cs="Arial"/>
                <w:szCs w:val="21"/>
              </w:rPr>
            </w:pPr>
            <w:r>
              <w:rPr>
                <w:rFonts w:hint="eastAsia" w:ascii="Arial" w:hAnsi="Arial" w:cs="Arial"/>
                <w:szCs w:val="21"/>
              </w:rPr>
              <w:t>4、警用水壶的壶口圆弧处理，口感安全舒适，克服锐边不安全隐患；</w:t>
            </w:r>
          </w:p>
          <w:p>
            <w:pPr>
              <w:snapToGrid w:val="0"/>
              <w:spacing w:line="320" w:lineRule="exact"/>
              <w:jc w:val="left"/>
              <w:rPr>
                <w:rFonts w:hint="eastAsia" w:ascii="Arial" w:hAnsi="Arial" w:cs="Arial"/>
                <w:szCs w:val="21"/>
              </w:rPr>
            </w:pPr>
            <w:r>
              <w:rPr>
                <w:rFonts w:hint="eastAsia" w:ascii="Arial" w:hAnsi="Arial" w:cs="Arial"/>
                <w:szCs w:val="21"/>
              </w:rPr>
              <w:t>5、壶体采用超轻弹性设计，按压碰撞壶身后可迅速恢复原形，方便携带，避免因不小心碰撞壶身而变形；</w:t>
            </w:r>
          </w:p>
          <w:p>
            <w:pPr>
              <w:snapToGrid w:val="0"/>
              <w:spacing w:line="320" w:lineRule="exact"/>
              <w:jc w:val="left"/>
              <w:rPr>
                <w:rFonts w:hint="eastAsia" w:ascii="Arial" w:hAnsi="Arial" w:cs="Arial"/>
                <w:szCs w:val="21"/>
              </w:rPr>
            </w:pPr>
            <w:r>
              <w:rPr>
                <w:rFonts w:hint="eastAsia" w:ascii="Arial" w:hAnsi="Arial" w:cs="Arial"/>
                <w:szCs w:val="21"/>
              </w:rPr>
              <w:t>6、壶身激光雕刻警号，不易混淆；</w:t>
            </w:r>
          </w:p>
          <w:p>
            <w:pPr>
              <w:snapToGrid w:val="0"/>
              <w:spacing w:line="320" w:lineRule="exact"/>
              <w:jc w:val="left"/>
              <w:rPr>
                <w:rFonts w:hint="eastAsia" w:ascii="Arial" w:hAnsi="Arial" w:cs="Arial"/>
                <w:szCs w:val="21"/>
              </w:rPr>
            </w:pPr>
            <w:r>
              <w:rPr>
                <w:rFonts w:hint="eastAsia" w:ascii="Arial" w:hAnsi="Arial" w:cs="Arial"/>
                <w:szCs w:val="21"/>
              </w:rPr>
              <w:t>7、警用水壶的内胆采用亮光效果；</w:t>
            </w:r>
          </w:p>
          <w:p>
            <w:pPr>
              <w:snapToGrid w:val="0"/>
              <w:spacing w:line="320" w:lineRule="exact"/>
              <w:jc w:val="left"/>
              <w:rPr>
                <w:rFonts w:hint="eastAsia" w:ascii="Arial" w:hAnsi="Arial" w:cs="Arial"/>
                <w:szCs w:val="21"/>
              </w:rPr>
            </w:pPr>
            <w:r>
              <w:rPr>
                <w:rFonts w:hint="eastAsia" w:ascii="Arial" w:hAnsi="Arial" w:cs="Arial"/>
                <w:szCs w:val="21"/>
              </w:rPr>
              <w:t xml:space="preserve">8、壶体基材全部采用优质SUS304不锈钢；                                                         </w:t>
            </w:r>
          </w:p>
          <w:p>
            <w:pPr>
              <w:snapToGrid w:val="0"/>
              <w:spacing w:line="320" w:lineRule="exact"/>
              <w:jc w:val="left"/>
              <w:rPr>
                <w:rFonts w:hint="eastAsia" w:ascii="Arial" w:hAnsi="Arial" w:cs="Arial"/>
                <w:szCs w:val="21"/>
              </w:rPr>
            </w:pPr>
            <w:r>
              <w:rPr>
                <w:rFonts w:hint="eastAsia" w:ascii="Arial" w:hAnsi="Arial" w:cs="Arial"/>
                <w:b/>
                <w:bCs/>
                <w:szCs w:val="21"/>
              </w:rPr>
              <w:t>执行标准：《GA887-2010公安单警装备—警用水壶》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4</w:t>
            </w:r>
          </w:p>
          <w:p>
            <w:pPr>
              <w:tabs>
                <w:tab w:val="left" w:pos="180"/>
                <w:tab w:val="left" w:pos="1620"/>
              </w:tabs>
              <w:spacing w:line="300" w:lineRule="auto"/>
              <w:rPr>
                <w:rFonts w:hint="eastAsia" w:ascii="宋体" w:hAnsi="宋体"/>
                <w:szCs w:val="21"/>
              </w:rPr>
            </w:pPr>
          </w:p>
        </w:tc>
        <w:tc>
          <w:tcPr>
            <w:tcW w:w="1800" w:type="dxa"/>
            <w:vAlign w:val="center"/>
          </w:tcPr>
          <w:p>
            <w:pPr>
              <w:snapToGrid w:val="0"/>
              <w:spacing w:line="320" w:lineRule="exact"/>
              <w:rPr>
                <w:rFonts w:hint="eastAsia" w:ascii="宋体" w:hAnsi="宋体"/>
                <w:szCs w:val="21"/>
              </w:rPr>
            </w:pPr>
            <w:r>
              <w:rPr>
                <w:rFonts w:hint="eastAsia"/>
                <w:kern w:val="0"/>
                <w:szCs w:val="21"/>
              </w:rPr>
              <w:t>防割手套</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对</w:t>
            </w:r>
          </w:p>
        </w:tc>
        <w:tc>
          <w:tcPr>
            <w:tcW w:w="5521" w:type="dxa"/>
            <w:vAlign w:val="center"/>
          </w:tcPr>
          <w:p>
            <w:pPr>
              <w:snapToGrid w:val="0"/>
              <w:spacing w:line="320" w:lineRule="exact"/>
              <w:jc w:val="left"/>
              <w:rPr>
                <w:rFonts w:hint="eastAsia" w:ascii="Arial" w:hAnsi="Arial" w:cs="Arial"/>
                <w:szCs w:val="21"/>
              </w:rPr>
            </w:pPr>
            <w:r>
              <w:rPr>
                <w:rFonts w:hint="eastAsia" w:ascii="Arial" w:hAnsi="Arial" w:cs="Arial"/>
                <w:szCs w:val="21"/>
              </w:rPr>
              <w:t>说明：产品防切割性能、富有弹性、穿戴适应性好、易于关节弯曲、透气性好、脱戴方便。</w:t>
            </w:r>
          </w:p>
          <w:p>
            <w:pPr>
              <w:snapToGrid w:val="0"/>
              <w:spacing w:line="320" w:lineRule="exact"/>
              <w:jc w:val="left"/>
              <w:rPr>
                <w:rFonts w:hint="eastAsia" w:ascii="Arial" w:hAnsi="Arial" w:cs="Arial"/>
                <w:szCs w:val="21"/>
              </w:rPr>
            </w:pPr>
            <w:r>
              <w:rPr>
                <w:rFonts w:hint="eastAsia" w:ascii="Arial" w:hAnsi="Arial" w:cs="Arial"/>
                <w:szCs w:val="21"/>
              </w:rPr>
              <w:t>技术参数：</w:t>
            </w:r>
          </w:p>
          <w:p>
            <w:pPr>
              <w:snapToGrid w:val="0"/>
              <w:spacing w:line="320" w:lineRule="exact"/>
              <w:jc w:val="left"/>
              <w:rPr>
                <w:rFonts w:hint="eastAsia" w:ascii="Arial" w:hAnsi="Arial" w:cs="Arial"/>
                <w:szCs w:val="21"/>
              </w:rPr>
            </w:pPr>
            <w:r>
              <w:rPr>
                <w:rFonts w:hint="eastAsia" w:ascii="Arial" w:hAnsi="Arial" w:cs="Arial"/>
                <w:szCs w:val="21"/>
              </w:rPr>
              <w:t>1、材料：主要材料有金属不锈钢丝芯丝、超高分子量聚乙烯纤维、涤纶低弹丝、天然乳胶橡皮筋和涤纶水洗布。防割手套原材料无毒，对人体无自然伤害。外观应无线头、破损、缺口、开线、漏针、污渍缺陷和无金属断丝，标志文字清晰完整，位置准确。</w:t>
            </w:r>
          </w:p>
          <w:p>
            <w:pPr>
              <w:snapToGrid w:val="0"/>
              <w:spacing w:line="320" w:lineRule="exact"/>
              <w:jc w:val="left"/>
              <w:rPr>
                <w:rFonts w:hint="eastAsia" w:ascii="Arial" w:hAnsi="Arial" w:cs="Arial"/>
                <w:szCs w:val="21"/>
              </w:rPr>
            </w:pPr>
            <w:r>
              <w:rPr>
                <w:rFonts w:hint="eastAsia" w:ascii="Arial" w:hAnsi="Arial" w:cs="Arial"/>
                <w:szCs w:val="21"/>
              </w:rPr>
              <w:t>2、防割性能：产品在环境温度-20℃～+55℃条件下，防割性能即耐切割系数I不小于2.5，能有效抵御各种刀具对手部的割、划；</w:t>
            </w:r>
          </w:p>
          <w:p>
            <w:pPr>
              <w:snapToGrid w:val="0"/>
              <w:spacing w:line="320" w:lineRule="exact"/>
              <w:jc w:val="left"/>
              <w:rPr>
                <w:rFonts w:hint="eastAsia" w:ascii="Arial" w:hAnsi="Arial" w:cs="Arial"/>
                <w:szCs w:val="21"/>
              </w:rPr>
            </w:pPr>
            <w:r>
              <w:rPr>
                <w:rFonts w:hint="eastAsia" w:ascii="Arial" w:hAnsi="Arial" w:cs="Arial"/>
                <w:szCs w:val="21"/>
              </w:rPr>
              <w:t>3、款式和颜色：产品（不含包装）重量不大于100g；颜色为白色；</w:t>
            </w:r>
          </w:p>
          <w:p>
            <w:pPr>
              <w:snapToGrid w:val="0"/>
              <w:spacing w:line="320" w:lineRule="exact"/>
              <w:jc w:val="left"/>
              <w:rPr>
                <w:rFonts w:hint="eastAsia" w:ascii="Arial" w:hAnsi="Arial" w:cs="Arial"/>
                <w:szCs w:val="21"/>
              </w:rPr>
            </w:pPr>
            <w:r>
              <w:rPr>
                <w:rFonts w:hint="eastAsia" w:ascii="Arial" w:hAnsi="Arial" w:cs="Arial"/>
                <w:szCs w:val="21"/>
              </w:rPr>
              <w:t xml:space="preserve">4、标志和代号：每付产品标注产品规格及唯一编号（两只手套编号应相同）。字体为黑色，字高约3.5㎜，产品编号标志缝合在防割手套靠拇指一侧合逢处，产品规格标志缝合在产品统口边缘。                                                        </w:t>
            </w:r>
          </w:p>
          <w:p>
            <w:pPr>
              <w:snapToGrid w:val="0"/>
              <w:spacing w:line="320" w:lineRule="exact"/>
              <w:jc w:val="left"/>
              <w:rPr>
                <w:rFonts w:ascii="Arial" w:hAnsi="Arial" w:cs="Arial"/>
                <w:szCs w:val="21"/>
              </w:rPr>
            </w:pPr>
            <w:r>
              <w:rPr>
                <w:rFonts w:hint="eastAsia" w:ascii="Arial" w:hAnsi="Arial" w:cs="Arial"/>
                <w:b/>
                <w:bCs/>
                <w:szCs w:val="21"/>
              </w:rPr>
              <w:t>执行标准：《GA614-2006 警用防割手套》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5</w:t>
            </w:r>
          </w:p>
          <w:p>
            <w:pPr>
              <w:tabs>
                <w:tab w:val="left" w:pos="180"/>
                <w:tab w:val="left" w:pos="1620"/>
              </w:tabs>
              <w:spacing w:line="300" w:lineRule="auto"/>
              <w:rPr>
                <w:rFonts w:hint="eastAsia" w:ascii="宋体" w:hAnsi="宋体"/>
                <w:szCs w:val="21"/>
              </w:rPr>
            </w:pPr>
          </w:p>
        </w:tc>
        <w:tc>
          <w:tcPr>
            <w:tcW w:w="1800" w:type="dxa"/>
            <w:vAlign w:val="center"/>
          </w:tcPr>
          <w:p>
            <w:pPr>
              <w:snapToGrid w:val="0"/>
              <w:spacing w:line="320" w:lineRule="exact"/>
              <w:rPr>
                <w:rFonts w:hint="eastAsia" w:ascii="宋体" w:hAnsi="宋体"/>
                <w:szCs w:val="21"/>
              </w:rPr>
            </w:pPr>
            <w:r>
              <w:rPr>
                <w:rFonts w:hint="eastAsia" w:ascii="Arial" w:hAnsi="Arial" w:cs="Arial"/>
                <w:szCs w:val="21"/>
              </w:rPr>
              <w:t>防刺服（非金属）</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48</w:t>
            </w:r>
            <w:r>
              <w:rPr>
                <w:rFonts w:hint="eastAsia" w:ascii="宋体" w:hAnsi="宋体" w:cs="Arial"/>
                <w:bCs/>
                <w:szCs w:val="21"/>
              </w:rPr>
              <w:t>件</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1、材质：7层超高分子量聚乙烯纤维防刺毡+1层超高分子量聚乙烯纤维浸胶片+7层超高分子量聚乙烯纤维防刺毡；</w:t>
            </w:r>
          </w:p>
          <w:p>
            <w:pPr>
              <w:snapToGrid w:val="0"/>
              <w:spacing w:line="320" w:lineRule="exact"/>
              <w:jc w:val="left"/>
              <w:rPr>
                <w:rFonts w:hint="eastAsia" w:ascii="宋体" w:hAnsi="宋体"/>
                <w:szCs w:val="21"/>
              </w:rPr>
            </w:pPr>
            <w:r>
              <w:rPr>
                <w:rFonts w:hint="eastAsia" w:ascii="宋体" w:hAnsi="宋体"/>
                <w:szCs w:val="21"/>
              </w:rPr>
              <w:t>2、防护面积：≥0.3平方米；</w:t>
            </w:r>
          </w:p>
          <w:p>
            <w:pPr>
              <w:snapToGrid w:val="0"/>
              <w:spacing w:line="320" w:lineRule="exact"/>
              <w:jc w:val="left"/>
              <w:rPr>
                <w:rFonts w:hint="eastAsia" w:ascii="宋体" w:hAnsi="宋体"/>
                <w:szCs w:val="21"/>
              </w:rPr>
            </w:pPr>
            <w:r>
              <w:rPr>
                <w:rFonts w:hint="eastAsia" w:ascii="宋体" w:hAnsi="宋体"/>
                <w:szCs w:val="21"/>
              </w:rPr>
              <w:t>3、防刺力：≥24J；</w:t>
            </w:r>
          </w:p>
          <w:p>
            <w:pPr>
              <w:snapToGrid w:val="0"/>
              <w:spacing w:line="320" w:lineRule="exact"/>
              <w:jc w:val="left"/>
              <w:rPr>
                <w:rFonts w:hint="eastAsia" w:ascii="宋体" w:hAnsi="宋体"/>
                <w:szCs w:val="21"/>
              </w:rPr>
            </w:pPr>
            <w:r>
              <w:rPr>
                <w:rFonts w:hint="eastAsia" w:ascii="宋体" w:hAnsi="宋体"/>
                <w:szCs w:val="21"/>
              </w:rPr>
              <w:t>4、重量：≤3Kg</w:t>
            </w:r>
          </w:p>
          <w:p>
            <w:pPr>
              <w:snapToGrid w:val="0"/>
              <w:spacing w:line="320" w:lineRule="exact"/>
              <w:jc w:val="left"/>
              <w:rPr>
                <w:rFonts w:hint="eastAsia" w:ascii="宋体" w:hAnsi="宋体"/>
                <w:szCs w:val="21"/>
              </w:rPr>
            </w:pPr>
            <w:r>
              <w:rPr>
                <w:rFonts w:hint="eastAsia" w:ascii="宋体" w:hAnsi="宋体"/>
                <w:szCs w:val="21"/>
              </w:rPr>
              <w:t>5、使用环境温度：-20℃～+55℃ ；</w:t>
            </w:r>
          </w:p>
          <w:p>
            <w:pPr>
              <w:snapToGrid w:val="0"/>
              <w:spacing w:line="320" w:lineRule="exact"/>
              <w:jc w:val="left"/>
              <w:rPr>
                <w:rFonts w:hint="eastAsia" w:ascii="宋体" w:hAnsi="宋体"/>
                <w:szCs w:val="21"/>
              </w:rPr>
            </w:pPr>
            <w:r>
              <w:rPr>
                <w:rFonts w:hint="eastAsia" w:ascii="宋体" w:hAnsi="宋体"/>
                <w:szCs w:val="21"/>
              </w:rPr>
              <w:t>6、概述：FCF-03型防刺服是针对目前国内铝合金防刺性能不高而进行改进设计。具有结构新颖，防刺性能好，穿着平整合适，易于穿脱，穿着后跑、跪、跳、蹲、踢、打、俯仰、转体灵活，防护面积大小等优点。其内胆依照仿生学原理，采用超高分子量聚乙烯纤维无纺布，内外夹层由柔软海绵制造，穿着舒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6</w:t>
            </w:r>
          </w:p>
        </w:tc>
        <w:tc>
          <w:tcPr>
            <w:tcW w:w="1800" w:type="dxa"/>
            <w:vAlign w:val="center"/>
          </w:tcPr>
          <w:p>
            <w:pPr>
              <w:snapToGrid w:val="0"/>
              <w:spacing w:line="320" w:lineRule="exact"/>
              <w:rPr>
                <w:rFonts w:hint="eastAsia" w:ascii="宋体" w:hAnsi="宋体"/>
                <w:szCs w:val="21"/>
              </w:rPr>
            </w:pPr>
            <w:r>
              <w:rPr>
                <w:rFonts w:hint="eastAsia" w:ascii="Arial" w:hAnsi="Arial" w:cs="Arial"/>
                <w:szCs w:val="21"/>
              </w:rPr>
              <w:t>警用多功能腰带（尼龙）</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条</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说明：警用多功能腰带采用白色优质尼龙材料，使用方便,布局合理,使出警时间大为缩短,对歹徒起到震慑作用.可配置手铐、对讲机、强光手电、警用工作包、警用水壶、警棍、催泪喷射器、警用制式刀具等装备.</w:t>
            </w:r>
          </w:p>
          <w:p>
            <w:pPr>
              <w:snapToGrid w:val="0"/>
              <w:spacing w:line="320" w:lineRule="exact"/>
              <w:jc w:val="left"/>
              <w:rPr>
                <w:rFonts w:hint="eastAsia" w:ascii="宋体" w:hAnsi="宋体"/>
                <w:szCs w:val="21"/>
              </w:rPr>
            </w:pPr>
            <w:r>
              <w:rPr>
                <w:rFonts w:hint="eastAsia" w:ascii="宋体" w:hAnsi="宋体"/>
                <w:szCs w:val="21"/>
              </w:rPr>
              <w:t>1、可配套装具:①手铐套②对讲机③强光手电套④警用工作包⑤警用水壶⑥警棍套⑦手枪套⑧催泪喷射器套</w:t>
            </w:r>
          </w:p>
          <w:p>
            <w:pPr>
              <w:snapToGrid w:val="0"/>
              <w:spacing w:line="320" w:lineRule="exact"/>
              <w:jc w:val="left"/>
              <w:rPr>
                <w:rFonts w:hint="eastAsia" w:ascii="宋体" w:hAnsi="宋体"/>
                <w:szCs w:val="21"/>
              </w:rPr>
            </w:pPr>
            <w:r>
              <w:rPr>
                <w:rFonts w:hint="eastAsia" w:ascii="宋体" w:hAnsi="宋体"/>
                <w:szCs w:val="21"/>
              </w:rPr>
              <w:t>2、主腰带使用金属挂扣、开启方便、扣紧有力，主腰带将箍松开即可调节长度。</w:t>
            </w:r>
          </w:p>
          <w:p>
            <w:pPr>
              <w:snapToGrid w:val="0"/>
              <w:spacing w:line="320" w:lineRule="exact"/>
              <w:jc w:val="left"/>
              <w:rPr>
                <w:rFonts w:hint="eastAsia" w:ascii="宋体" w:hAnsi="宋体"/>
                <w:szCs w:val="21"/>
              </w:rPr>
            </w:pPr>
            <w:r>
              <w:rPr>
                <w:rFonts w:hint="eastAsia" w:ascii="宋体" w:hAnsi="宋体"/>
                <w:szCs w:val="21"/>
              </w:rPr>
              <w:t>3、斜挂带也可任意调节长度。</w:t>
            </w:r>
          </w:p>
          <w:p>
            <w:pPr>
              <w:snapToGrid w:val="0"/>
              <w:spacing w:line="320" w:lineRule="exact"/>
              <w:jc w:val="left"/>
              <w:rPr>
                <w:rFonts w:hint="eastAsia" w:ascii="宋体" w:hAnsi="宋体"/>
                <w:szCs w:val="21"/>
              </w:rPr>
            </w:pPr>
            <w:r>
              <w:rPr>
                <w:rFonts w:hint="eastAsia" w:ascii="宋体" w:hAnsi="宋体"/>
                <w:szCs w:val="21"/>
              </w:rPr>
              <w:t>4、重量：＜1.8公斤</w:t>
            </w:r>
          </w:p>
          <w:p>
            <w:pPr>
              <w:snapToGrid w:val="0"/>
              <w:spacing w:line="320" w:lineRule="exact"/>
              <w:jc w:val="left"/>
              <w:rPr>
                <w:rFonts w:hint="eastAsia" w:ascii="宋体" w:hAnsi="宋体"/>
                <w:szCs w:val="21"/>
              </w:rPr>
            </w:pPr>
            <w:r>
              <w:rPr>
                <w:rFonts w:hint="eastAsia" w:ascii="宋体" w:hAnsi="宋体"/>
                <w:szCs w:val="21"/>
              </w:rPr>
              <w:t>5、斜挂带卡扣对接力≥500牛；横腰带拉伸强力(N)≥30000；卡扣对接强力（N）≥500；开口缝合力（N）≥300；盖扣合力（N）≥25；钎子插拔次数5000次；色牢度≥3—4；钎子耐盐雾：48h后，无棕色腐蚀物</w:t>
            </w:r>
          </w:p>
          <w:p>
            <w:pPr>
              <w:snapToGrid w:val="0"/>
              <w:spacing w:line="320" w:lineRule="exact"/>
              <w:jc w:val="left"/>
              <w:rPr>
                <w:rFonts w:hint="eastAsia" w:ascii="宋体" w:hAnsi="宋体"/>
                <w:szCs w:val="21"/>
              </w:rPr>
            </w:pPr>
            <w:r>
              <w:rPr>
                <w:rFonts w:hint="eastAsia" w:ascii="宋体" w:hAnsi="宋体"/>
                <w:b/>
                <w:bCs/>
                <w:szCs w:val="21"/>
              </w:rPr>
              <w:t>执行标准：《GA 890-2010 公安单警装备 警用多功能尼龙腰带》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7</w:t>
            </w:r>
          </w:p>
        </w:tc>
        <w:tc>
          <w:tcPr>
            <w:tcW w:w="1800" w:type="dxa"/>
            <w:vAlign w:val="center"/>
          </w:tcPr>
          <w:p>
            <w:pPr>
              <w:snapToGrid w:val="0"/>
              <w:spacing w:line="320" w:lineRule="exact"/>
              <w:rPr>
                <w:rFonts w:hint="eastAsia" w:ascii="宋体" w:hAnsi="宋体"/>
                <w:szCs w:val="21"/>
              </w:rPr>
            </w:pPr>
            <w:r>
              <w:rPr>
                <w:rFonts w:hint="eastAsia"/>
                <w:kern w:val="0"/>
                <w:szCs w:val="21"/>
              </w:rPr>
              <w:t>急救包</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只</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1、急救包由包体、内装药品和器械组成。</w:t>
            </w:r>
          </w:p>
          <w:p>
            <w:pPr>
              <w:snapToGrid w:val="0"/>
              <w:spacing w:line="320" w:lineRule="exact"/>
              <w:jc w:val="left"/>
              <w:rPr>
                <w:rFonts w:hint="eastAsia" w:ascii="宋体" w:hAnsi="宋体"/>
                <w:szCs w:val="21"/>
              </w:rPr>
            </w:pPr>
            <w:r>
              <w:rPr>
                <w:rFonts w:hint="eastAsia" w:ascii="宋体" w:hAnsi="宋体"/>
                <w:szCs w:val="21"/>
              </w:rPr>
              <w:t>2、包体采用移膜皮革制成。</w:t>
            </w:r>
          </w:p>
          <w:p>
            <w:pPr>
              <w:snapToGrid w:val="0"/>
              <w:spacing w:line="320" w:lineRule="exact"/>
              <w:jc w:val="left"/>
              <w:rPr>
                <w:rFonts w:hint="eastAsia" w:ascii="宋体" w:hAnsi="宋体"/>
                <w:szCs w:val="21"/>
              </w:rPr>
            </w:pPr>
            <w:r>
              <w:rPr>
                <w:rFonts w:hint="eastAsia" w:ascii="宋体" w:hAnsi="宋体"/>
                <w:szCs w:val="21"/>
              </w:rPr>
              <w:t>3、包内装有硝酸甘油片、云南白药创口贴、橡胶止血带、无菌纱布片、带垫救急绷带、口对口呼吸膜、酒精消毒片、抗菌湿纸巾、小剪刀、别针等药品与器械。</w:t>
            </w:r>
          </w:p>
          <w:p>
            <w:pPr>
              <w:snapToGrid w:val="0"/>
              <w:spacing w:line="320" w:lineRule="exact"/>
              <w:jc w:val="left"/>
              <w:rPr>
                <w:rFonts w:hint="eastAsia" w:ascii="宋体" w:hAnsi="宋体"/>
                <w:szCs w:val="21"/>
              </w:rPr>
            </w:pPr>
            <w:r>
              <w:rPr>
                <w:rFonts w:hint="eastAsia" w:ascii="宋体" w:hAnsi="宋体"/>
                <w:szCs w:val="21"/>
              </w:rPr>
              <w:t>警用急救包是对公安人员在处理突发事件时，警员或群众一旦受伤能及时对伤员实施紧急止血、包扎等所采取的一种急救措施；</w:t>
            </w:r>
          </w:p>
          <w:p>
            <w:pPr>
              <w:snapToGrid w:val="0"/>
              <w:spacing w:line="320" w:lineRule="exact"/>
              <w:jc w:val="left"/>
              <w:rPr>
                <w:rFonts w:hint="eastAsia" w:ascii="宋体" w:hAnsi="宋体"/>
                <w:szCs w:val="21"/>
              </w:rPr>
            </w:pPr>
            <w:r>
              <w:rPr>
                <w:rFonts w:hint="eastAsia" w:ascii="宋体" w:hAnsi="宋体"/>
                <w:b/>
                <w:bCs/>
                <w:szCs w:val="21"/>
              </w:rPr>
              <w:t>执行标准《公安单警装备—警用急救包制造与验收规范》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8</w:t>
            </w:r>
          </w:p>
        </w:tc>
        <w:tc>
          <w:tcPr>
            <w:tcW w:w="1800" w:type="dxa"/>
            <w:vAlign w:val="center"/>
          </w:tcPr>
          <w:p>
            <w:pPr>
              <w:snapToGrid w:val="0"/>
              <w:spacing w:line="320" w:lineRule="exact"/>
              <w:rPr>
                <w:rFonts w:hint="eastAsia" w:ascii="宋体" w:hAnsi="宋体"/>
                <w:szCs w:val="21"/>
              </w:rPr>
            </w:pPr>
            <w:r>
              <w:rPr>
                <w:rFonts w:hint="eastAsia" w:hAnsi="宋体"/>
              </w:rPr>
              <w:t>新型伸缩警棍</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根</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1.结构：使用三节壁厚均为约2.0mm厚无缝钢管（45#）制成，主要由端座、橡胶握把、后节、中节、前节及旋转卡位装置组成。橡胶握把与后节的连接处有一套活动的护手卡盘。</w:t>
            </w:r>
          </w:p>
          <w:p>
            <w:pPr>
              <w:snapToGrid w:val="0"/>
              <w:spacing w:line="320" w:lineRule="exact"/>
              <w:jc w:val="left"/>
              <w:rPr>
                <w:rFonts w:hint="eastAsia" w:ascii="宋体" w:hAnsi="宋体"/>
                <w:szCs w:val="21"/>
              </w:rPr>
            </w:pPr>
            <w:r>
              <w:rPr>
                <w:rFonts w:hint="eastAsia" w:ascii="宋体" w:hAnsi="宋体"/>
                <w:szCs w:val="21"/>
              </w:rPr>
              <w:t>2.外观：产品外观圆滑，无弯曲、划痕、毛刺及其他缺陷。</w:t>
            </w:r>
          </w:p>
          <w:p>
            <w:pPr>
              <w:snapToGrid w:val="0"/>
              <w:spacing w:line="320" w:lineRule="exact"/>
              <w:jc w:val="left"/>
              <w:rPr>
                <w:rFonts w:hint="eastAsia" w:ascii="宋体" w:hAnsi="宋体"/>
                <w:szCs w:val="21"/>
              </w:rPr>
            </w:pPr>
            <w:r>
              <w:rPr>
                <w:rFonts w:hint="eastAsia" w:ascii="宋体" w:hAnsi="宋体"/>
                <w:szCs w:val="21"/>
              </w:rPr>
              <w:t>3.尺寸：伸缩警棍收缩时长度约为260mm；展开长度约为600mm；</w:t>
            </w:r>
          </w:p>
          <w:p>
            <w:pPr>
              <w:snapToGrid w:val="0"/>
              <w:spacing w:line="320" w:lineRule="exact"/>
              <w:jc w:val="left"/>
              <w:rPr>
                <w:rFonts w:hint="eastAsia" w:ascii="宋体" w:hAnsi="宋体"/>
                <w:szCs w:val="21"/>
              </w:rPr>
            </w:pPr>
            <w:r>
              <w:rPr>
                <w:rFonts w:hint="eastAsia" w:ascii="宋体" w:hAnsi="宋体"/>
                <w:szCs w:val="21"/>
              </w:rPr>
              <w:t>4.耐用性能：产品自然下垂时，不会自动展开；当加力拉伸充分展开后，既不脱节，又不会自动缩回；收缩时无需撞击硬物收回；产品能稳定重复循环使用1000次以上；耐腐蚀性检验：8级。</w:t>
            </w:r>
          </w:p>
          <w:p>
            <w:pPr>
              <w:snapToGrid w:val="0"/>
              <w:spacing w:line="320" w:lineRule="exact"/>
              <w:jc w:val="left"/>
              <w:rPr>
                <w:rFonts w:hint="eastAsia" w:ascii="宋体" w:hAnsi="宋体"/>
                <w:szCs w:val="21"/>
              </w:rPr>
            </w:pPr>
            <w:r>
              <w:rPr>
                <w:rFonts w:hint="eastAsia" w:ascii="宋体" w:hAnsi="宋体"/>
                <w:szCs w:val="21"/>
              </w:rPr>
              <w:t>5.拉伸强度：经约1000N的静拉力，警棍不会出现脱节、断裂现象。</w:t>
            </w:r>
          </w:p>
          <w:p>
            <w:pPr>
              <w:snapToGrid w:val="0"/>
              <w:spacing w:line="320" w:lineRule="exact"/>
              <w:jc w:val="left"/>
              <w:rPr>
                <w:rFonts w:hint="eastAsia" w:ascii="宋体" w:hAnsi="宋体"/>
                <w:szCs w:val="21"/>
              </w:rPr>
            </w:pPr>
            <w:r>
              <w:rPr>
                <w:rFonts w:hint="eastAsia" w:ascii="宋体" w:hAnsi="宋体"/>
                <w:szCs w:val="21"/>
              </w:rPr>
              <w:t>6.变形量：挂重约10KG，变形≦1.5mm</w:t>
            </w:r>
          </w:p>
          <w:p>
            <w:pPr>
              <w:snapToGrid w:val="0"/>
              <w:spacing w:line="320" w:lineRule="exact"/>
              <w:jc w:val="left"/>
              <w:rPr>
                <w:rFonts w:hint="eastAsia" w:ascii="宋体" w:hAnsi="宋体"/>
                <w:szCs w:val="21"/>
              </w:rPr>
            </w:pPr>
            <w:r>
              <w:rPr>
                <w:rFonts w:hint="eastAsia" w:ascii="宋体" w:hAnsi="宋体"/>
                <w:szCs w:val="21"/>
              </w:rPr>
              <w:t>7.使用寿命：抗打击次数大于1000次。试验后伸缩性能不变。最细部分变形量△L≦3.2mm。</w:t>
            </w:r>
          </w:p>
          <w:p>
            <w:pPr>
              <w:snapToGrid w:val="0"/>
              <w:spacing w:line="320" w:lineRule="exact"/>
              <w:jc w:val="left"/>
              <w:rPr>
                <w:rFonts w:hint="eastAsia" w:ascii="宋体" w:hAnsi="宋体"/>
                <w:szCs w:val="21"/>
              </w:rPr>
            </w:pPr>
            <w:r>
              <w:rPr>
                <w:rFonts w:hint="eastAsia" w:ascii="宋体" w:hAnsi="宋体"/>
                <w:szCs w:val="21"/>
              </w:rPr>
              <w:t>8.护手卡盘尺寸：外径90mm，总厚度：28mm，旋转90度成十字型以保护持棍人的手，也可360度旋转。</w:t>
            </w:r>
          </w:p>
          <w:p>
            <w:pPr>
              <w:snapToGrid w:val="0"/>
              <w:spacing w:line="320" w:lineRule="exact"/>
              <w:jc w:val="left"/>
              <w:rPr>
                <w:rFonts w:hint="eastAsia" w:ascii="宋体" w:hAnsi="宋体"/>
                <w:szCs w:val="21"/>
              </w:rPr>
            </w:pPr>
            <w:r>
              <w:rPr>
                <w:rFonts w:hint="eastAsia" w:ascii="宋体" w:hAnsi="宋体"/>
                <w:szCs w:val="21"/>
              </w:rPr>
              <w:t>9.手柄尺寸：长约为46mm，手持部分使用橡胶套，用于防滑，胶套上“伸缩警棍”及“警察”、“POLICE”中英文字样；</w:t>
            </w:r>
          </w:p>
          <w:p>
            <w:pPr>
              <w:snapToGrid w:val="0"/>
              <w:spacing w:line="320" w:lineRule="exact"/>
              <w:jc w:val="left"/>
              <w:rPr>
                <w:rFonts w:hint="eastAsia" w:ascii="宋体" w:hAnsi="宋体"/>
                <w:szCs w:val="21"/>
              </w:rPr>
            </w:pPr>
            <w:r>
              <w:rPr>
                <w:rFonts w:hint="eastAsia" w:ascii="宋体" w:hAnsi="宋体"/>
                <w:szCs w:val="21"/>
              </w:rPr>
              <w:t>10.包装皮套尺寸：总长约322mm，宽约48.5mm，高约36mm；</w:t>
            </w:r>
          </w:p>
          <w:p>
            <w:pPr>
              <w:snapToGrid w:val="0"/>
              <w:spacing w:line="320" w:lineRule="exact"/>
              <w:jc w:val="left"/>
              <w:rPr>
                <w:rFonts w:hint="eastAsia" w:ascii="宋体" w:hAnsi="宋体"/>
                <w:szCs w:val="21"/>
              </w:rPr>
            </w:pPr>
            <w:r>
              <w:rPr>
                <w:rFonts w:hint="eastAsia" w:ascii="宋体" w:hAnsi="宋体"/>
                <w:szCs w:val="21"/>
              </w:rPr>
              <w:t>11.包装盒尺寸：长约321mm，高约57mm，宽约143mm。</w:t>
            </w:r>
          </w:p>
          <w:p>
            <w:pPr>
              <w:snapToGrid w:val="0"/>
              <w:spacing w:line="320" w:lineRule="exact"/>
              <w:jc w:val="left"/>
              <w:rPr>
                <w:rFonts w:hint="eastAsia" w:ascii="宋体" w:hAnsi="宋体"/>
                <w:b/>
                <w:bCs/>
                <w:szCs w:val="21"/>
              </w:rPr>
            </w:pPr>
            <w:r>
              <w:rPr>
                <w:rFonts w:hint="eastAsia" w:ascii="宋体" w:hAnsi="宋体"/>
                <w:b/>
                <w:bCs/>
                <w:szCs w:val="21"/>
              </w:rPr>
              <w:t>执行标准《GA/T429-2003伸缩警棍》</w:t>
            </w:r>
          </w:p>
          <w:p>
            <w:pPr>
              <w:snapToGrid w:val="0"/>
              <w:spacing w:line="320" w:lineRule="exact"/>
              <w:jc w:val="left"/>
              <w:rPr>
                <w:rFonts w:hint="eastAsia" w:ascii="宋体" w:hAnsi="宋体"/>
                <w:szCs w:val="21"/>
              </w:rPr>
            </w:pPr>
            <w:r>
              <w:rPr>
                <w:rFonts w:hint="eastAsia" w:ascii="宋体" w:hAnsi="宋体"/>
                <w:szCs w:val="21"/>
              </w:rPr>
              <w:t>每根新型伸缩警棍需购买1年保险，每次事故赔偿限额不小于150万（含150万），在响应文件中提供相关购买保险证明复印件并加盖供应商公章。</w:t>
            </w:r>
          </w:p>
          <w:p>
            <w:pPr>
              <w:snapToGrid w:val="0"/>
              <w:spacing w:line="320" w:lineRule="exact"/>
              <w:jc w:val="left"/>
              <w:rPr>
                <w:rFonts w:hint="eastAsia" w:ascii="宋体" w:hAnsi="宋体"/>
                <w:szCs w:val="21"/>
              </w:rPr>
            </w:pPr>
            <w:r>
              <w:rPr>
                <w:rFonts w:hint="eastAsia" w:ascii="宋体" w:hAnsi="宋体"/>
                <w:szCs w:val="21"/>
              </w:rPr>
              <w:t>在响应文件中提供新型伸缩警棍被列入公安部警用装备列装产品的证明文件复印件加盖生产厂家公章。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9</w:t>
            </w:r>
          </w:p>
        </w:tc>
        <w:tc>
          <w:tcPr>
            <w:tcW w:w="1800" w:type="dxa"/>
            <w:vAlign w:val="center"/>
          </w:tcPr>
          <w:p>
            <w:pPr>
              <w:snapToGrid w:val="0"/>
              <w:spacing w:line="320" w:lineRule="exact"/>
              <w:rPr>
                <w:rFonts w:hint="eastAsia" w:ascii="宋体" w:hAnsi="宋体"/>
                <w:szCs w:val="21"/>
              </w:rPr>
            </w:pPr>
            <w:r>
              <w:rPr>
                <w:rFonts w:hint="eastAsia" w:hAnsi="宋体"/>
              </w:rPr>
              <w:t>可重复灌装催泪喷射器</w:t>
            </w:r>
          </w:p>
        </w:tc>
        <w:tc>
          <w:tcPr>
            <w:tcW w:w="779" w:type="dxa"/>
            <w:vAlign w:val="center"/>
          </w:tcPr>
          <w:p>
            <w:pPr>
              <w:snapToGrid w:val="0"/>
              <w:spacing w:line="320" w:lineRule="exact"/>
              <w:jc w:val="center"/>
              <w:rPr>
                <w:rFonts w:hint="eastAsia" w:ascii="宋体" w:hAnsi="宋体"/>
                <w:szCs w:val="21"/>
              </w:rPr>
            </w:pPr>
            <w:r>
              <w:rPr>
                <w:rFonts w:ascii="宋体" w:hAnsi="宋体" w:cs="Arial"/>
                <w:bCs/>
                <w:szCs w:val="21"/>
              </w:rPr>
              <w:t>200</w:t>
            </w:r>
            <w:r>
              <w:rPr>
                <w:rFonts w:hint="eastAsia" w:ascii="宋体" w:hAnsi="宋体" w:cs="Arial"/>
                <w:bCs/>
                <w:szCs w:val="21"/>
              </w:rPr>
              <w:t>个</w:t>
            </w:r>
          </w:p>
        </w:tc>
        <w:tc>
          <w:tcPr>
            <w:tcW w:w="5521" w:type="dxa"/>
            <w:vAlign w:val="center"/>
          </w:tcPr>
          <w:p>
            <w:pPr>
              <w:snapToGrid w:val="0"/>
              <w:spacing w:line="320" w:lineRule="exact"/>
              <w:jc w:val="left"/>
              <w:rPr>
                <w:rFonts w:hint="eastAsia" w:ascii="宋体" w:hAnsi="宋体"/>
                <w:szCs w:val="21"/>
              </w:rPr>
            </w:pPr>
            <w:r>
              <w:rPr>
                <w:rFonts w:hint="eastAsia" w:ascii="宋体" w:hAnsi="宋体"/>
                <w:szCs w:val="21"/>
              </w:rPr>
              <w:t>产品主要功能及特点：</w:t>
            </w:r>
          </w:p>
          <w:p>
            <w:pPr>
              <w:snapToGrid w:val="0"/>
              <w:spacing w:line="320" w:lineRule="exact"/>
              <w:jc w:val="left"/>
              <w:rPr>
                <w:rFonts w:hint="eastAsia" w:ascii="宋体" w:hAnsi="宋体"/>
                <w:szCs w:val="21"/>
              </w:rPr>
            </w:pPr>
            <w:r>
              <w:rPr>
                <w:rFonts w:hint="eastAsia" w:ascii="宋体" w:hAnsi="宋体"/>
                <w:szCs w:val="21"/>
              </w:rPr>
              <w:t>通过更换喷射器罐体中装填催泪剂的囊袋，经充气加压实现催泪喷射器的重复使用。与单警装备警用催泪喷射器相比，在重量不增加的情况下，喷射时间约8秒；喷射距离约7米，使用完后，可使用电动充气泵添加气压，实现重复灌装使用。</w:t>
            </w:r>
          </w:p>
          <w:p>
            <w:pPr>
              <w:snapToGrid w:val="0"/>
              <w:spacing w:line="320" w:lineRule="exact"/>
              <w:jc w:val="left"/>
              <w:rPr>
                <w:rFonts w:hint="eastAsia" w:ascii="宋体" w:hAnsi="宋体"/>
                <w:szCs w:val="21"/>
              </w:rPr>
            </w:pPr>
            <w:r>
              <w:rPr>
                <w:rFonts w:hint="eastAsia" w:ascii="宋体" w:hAnsi="宋体"/>
                <w:szCs w:val="21"/>
              </w:rPr>
              <w:t>1、</w:t>
            </w:r>
            <w:r>
              <w:rPr>
                <w:rFonts w:hint="eastAsia" w:ascii="宋体" w:hAnsi="宋体"/>
                <w:b/>
                <w:bCs/>
                <w:szCs w:val="21"/>
              </w:rPr>
              <w:t>执行标准：《公安单警装备－警用催泪喷射器制造与验收规范》。</w:t>
            </w:r>
          </w:p>
          <w:p>
            <w:pPr>
              <w:snapToGrid w:val="0"/>
              <w:spacing w:line="320" w:lineRule="exact"/>
              <w:jc w:val="left"/>
              <w:rPr>
                <w:rFonts w:hint="eastAsia" w:ascii="宋体" w:hAnsi="宋体"/>
                <w:szCs w:val="21"/>
              </w:rPr>
            </w:pPr>
            <w:r>
              <w:rPr>
                <w:rFonts w:hint="eastAsia" w:ascii="宋体" w:hAnsi="宋体"/>
                <w:szCs w:val="21"/>
              </w:rPr>
              <w:t>2、罐体尺寸：满足GB 13042-1998中圆肩型铝罐（A）的要求，高度为149mm±1mm，罐体外径为35mm±0.2mm。</w:t>
            </w:r>
          </w:p>
          <w:p>
            <w:pPr>
              <w:snapToGrid w:val="0"/>
              <w:spacing w:line="320" w:lineRule="exact"/>
              <w:jc w:val="left"/>
              <w:rPr>
                <w:rFonts w:hint="eastAsia" w:ascii="宋体" w:hAnsi="宋体"/>
                <w:szCs w:val="21"/>
              </w:rPr>
            </w:pPr>
            <w:r>
              <w:rPr>
                <w:rFonts w:hint="eastAsia" w:ascii="宋体" w:hAnsi="宋体"/>
                <w:szCs w:val="21"/>
              </w:rPr>
              <w:t>3、气密性：内压为0.85±0.05Mpa，灌液量为50ml±2ml。</w:t>
            </w:r>
          </w:p>
          <w:p>
            <w:pPr>
              <w:snapToGrid w:val="0"/>
              <w:spacing w:line="320" w:lineRule="exact"/>
              <w:jc w:val="left"/>
              <w:rPr>
                <w:rFonts w:hint="eastAsia" w:ascii="宋体" w:hAnsi="宋体"/>
                <w:szCs w:val="21"/>
              </w:rPr>
            </w:pPr>
            <w:r>
              <w:rPr>
                <w:rFonts w:hint="eastAsia" w:ascii="宋体" w:hAnsi="宋体"/>
                <w:szCs w:val="21"/>
              </w:rPr>
              <w:t>4、喷射情况：喷射距离≥5m，有效喷射时间≥4s，催泪剂OC含量：1-2%。</w:t>
            </w:r>
          </w:p>
          <w:p>
            <w:pPr>
              <w:snapToGrid w:val="0"/>
              <w:spacing w:line="320" w:lineRule="exact"/>
              <w:jc w:val="left"/>
              <w:rPr>
                <w:rFonts w:hint="eastAsia" w:ascii="宋体" w:hAnsi="宋体"/>
                <w:szCs w:val="21"/>
              </w:rPr>
            </w:pPr>
            <w:r>
              <w:rPr>
                <w:rFonts w:hint="eastAsia" w:ascii="宋体" w:hAnsi="宋体"/>
                <w:szCs w:val="21"/>
              </w:rPr>
              <w:t>5、保险盖与保护帽：装配平滑、复位顺畅；保护帽与罐体应结合紧密；喷嘴与阀体系统应配合良好，按钮开关松紧适度，有足够回复力。</w:t>
            </w:r>
          </w:p>
          <w:p>
            <w:pPr>
              <w:snapToGrid w:val="0"/>
              <w:spacing w:line="320" w:lineRule="exact"/>
              <w:jc w:val="left"/>
              <w:rPr>
                <w:rFonts w:hint="eastAsia" w:ascii="宋体" w:hAnsi="宋体"/>
                <w:szCs w:val="21"/>
              </w:rPr>
            </w:pPr>
            <w:r>
              <w:rPr>
                <w:rFonts w:hint="eastAsia" w:ascii="宋体" w:hAnsi="宋体"/>
                <w:szCs w:val="21"/>
              </w:rPr>
              <w:t>6、有效期：3年内在-30℃～+55℃范围内应表面无剥、落，不解体、不泄漏、不爆裂，能正常喷射。</w:t>
            </w:r>
          </w:p>
          <w:p>
            <w:pPr>
              <w:snapToGrid w:val="0"/>
              <w:spacing w:line="320" w:lineRule="exact"/>
              <w:jc w:val="left"/>
              <w:rPr>
                <w:rFonts w:hint="eastAsia" w:ascii="宋体" w:hAnsi="宋体"/>
                <w:szCs w:val="21"/>
              </w:rPr>
            </w:pPr>
            <w:r>
              <w:rPr>
                <w:rFonts w:hint="eastAsia" w:ascii="宋体" w:hAnsi="宋体"/>
                <w:szCs w:val="21"/>
              </w:rPr>
              <w:t>7、标识：产品正面印刷“警徽”图样和“警察、POLICE、催泪喷射器”字样。</w:t>
            </w:r>
          </w:p>
          <w:p>
            <w:pPr>
              <w:snapToGrid w:val="0"/>
              <w:spacing w:line="320" w:lineRule="exact"/>
              <w:jc w:val="left"/>
              <w:rPr>
                <w:rFonts w:hint="eastAsia" w:ascii="宋体" w:hAnsi="宋体"/>
                <w:szCs w:val="21"/>
              </w:rPr>
            </w:pPr>
            <w:r>
              <w:rPr>
                <w:rFonts w:hint="eastAsia" w:ascii="宋体" w:hAnsi="宋体"/>
                <w:szCs w:val="21"/>
              </w:rPr>
              <w:t>8、可重复灌装催泪喷射器购买1年保险，每次事故赔偿限额为人民币150万元或以上，在响应文件中提供相关购买保险证明复印件并加盖供应商公章。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10</w:t>
            </w:r>
          </w:p>
        </w:tc>
        <w:tc>
          <w:tcPr>
            <w:tcW w:w="1800" w:type="dxa"/>
            <w:vAlign w:val="center"/>
          </w:tcPr>
          <w:p>
            <w:pPr>
              <w:snapToGrid w:val="0"/>
              <w:spacing w:line="320" w:lineRule="exact"/>
              <w:rPr>
                <w:rFonts w:hint="eastAsia" w:ascii="宋体" w:hAnsi="宋体"/>
                <w:szCs w:val="21"/>
              </w:rPr>
            </w:pPr>
            <w:r>
              <w:rPr>
                <w:rFonts w:hint="eastAsia" w:ascii="Arial" w:hAnsi="Arial" w:cs="Arial"/>
                <w:szCs w:val="21"/>
              </w:rPr>
              <w:t>盾牌</w:t>
            </w:r>
          </w:p>
        </w:tc>
        <w:tc>
          <w:tcPr>
            <w:tcW w:w="779" w:type="dxa"/>
            <w:vAlign w:val="center"/>
          </w:tcPr>
          <w:p>
            <w:pPr>
              <w:snapToGrid w:val="0"/>
              <w:spacing w:line="320" w:lineRule="exact"/>
              <w:jc w:val="center"/>
              <w:rPr>
                <w:rFonts w:hint="eastAsia" w:ascii="宋体" w:hAnsi="宋体"/>
                <w:szCs w:val="21"/>
              </w:rPr>
            </w:pPr>
            <w:r>
              <w:rPr>
                <w:rFonts w:hint="eastAsia" w:ascii="宋体" w:hAnsi="宋体" w:cs="Arial"/>
                <w:bCs/>
                <w:szCs w:val="21"/>
              </w:rPr>
              <w:t>20个</w:t>
            </w:r>
          </w:p>
        </w:tc>
        <w:tc>
          <w:tcPr>
            <w:tcW w:w="5521" w:type="dxa"/>
            <w:vAlign w:val="center"/>
          </w:tcPr>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1、材质采用优质PC聚碳酸脂材料制成，透明度高、重量轻、 阻燃效果强、 耐敲打。</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2、标志：防暴盾牌正面水平居中位置有“警察”和“POLICE”字样。</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3、规格：长宽约50cm×90cm  厚度：约3.5mm</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4、耐冲击强度：147J动能冲击符合标准；</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5、耐穿刺性能：GA68-2003标准试验刀具20J动能穿刺符合标准；</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6、握把连接强度：≥500N；</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7、握把：防暴盾牌的握把便于握持、手感舒适，无毛刺、尖角等缺陷。</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8、臂带连接强度：≥500N；</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 xml:space="preserve">9、产品质量：约2.52KG； </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10、透光率：约89.4%；</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 xml:space="preserve">11、主要用途：用于警务人员防护、抵御伤害性打击的板式装置。                                              </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16、每件防刺服提供240万以上的保险出具保险公司证明凭证，</w:t>
            </w:r>
            <w:r>
              <w:rPr>
                <w:rFonts w:hint="eastAsia" w:ascii="宋体" w:hAnsi="宋体"/>
                <w:szCs w:val="21"/>
              </w:rPr>
              <w:t>在响应文件中提供相关购买保险证明复印件并加盖供应商公章。</w:t>
            </w:r>
            <w:r>
              <w:rPr>
                <w:rFonts w:hint="eastAsia" w:ascii="Arial" w:hAnsi="Arial" w:cs="Arial"/>
                <w:szCs w:val="21"/>
                <w:shd w:val="clear" w:color="auto" w:fill="FFFFFF"/>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11</w:t>
            </w:r>
          </w:p>
        </w:tc>
        <w:tc>
          <w:tcPr>
            <w:tcW w:w="1800" w:type="dxa"/>
            <w:vAlign w:val="center"/>
          </w:tcPr>
          <w:p>
            <w:pPr>
              <w:jc w:val="left"/>
              <w:rPr>
                <w:rFonts w:ascii="宋体" w:hAnsi="宋体"/>
                <w:szCs w:val="21"/>
              </w:rPr>
            </w:pPr>
            <w:r>
              <w:rPr>
                <w:rFonts w:hint="eastAsia" w:ascii="Arial" w:hAnsi="Arial" w:cs="Arial"/>
                <w:szCs w:val="21"/>
              </w:rPr>
              <w:t>钢叉</w:t>
            </w:r>
          </w:p>
        </w:tc>
        <w:tc>
          <w:tcPr>
            <w:tcW w:w="779" w:type="dxa"/>
            <w:vAlign w:val="center"/>
          </w:tcPr>
          <w:p>
            <w:pPr>
              <w:snapToGrid w:val="0"/>
              <w:spacing w:line="320" w:lineRule="exact"/>
              <w:jc w:val="center"/>
              <w:rPr>
                <w:rFonts w:hint="eastAsia" w:ascii="宋体" w:hAnsi="宋体"/>
                <w:szCs w:val="21"/>
              </w:rPr>
            </w:pPr>
            <w:r>
              <w:rPr>
                <w:rFonts w:hint="eastAsia" w:ascii="宋体" w:hAnsi="宋体" w:cs="Arial"/>
                <w:bCs/>
                <w:szCs w:val="21"/>
              </w:rPr>
              <w:t>20个</w:t>
            </w:r>
          </w:p>
        </w:tc>
        <w:tc>
          <w:tcPr>
            <w:tcW w:w="5521" w:type="dxa"/>
            <w:vAlign w:val="center"/>
          </w:tcPr>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1、结构：由弧形叉头和可拆接的两节叉柄组成。</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2、杆体材质：叉体为不锈钢，叉柄为高强度ABS</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3、尺寸：伸展长度：≥2m；收缩长度：≤1.35m；  前管直径28mm；后杆直径35mm；叉头两顶端的距离为41cm</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4、重量：≤1.5kg</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5、叉杆轴向承受的静拉力：约600N</w:t>
            </w:r>
          </w:p>
          <w:p>
            <w:pPr>
              <w:snapToGrid w:val="0"/>
              <w:spacing w:line="320" w:lineRule="exact"/>
              <w:jc w:val="left"/>
              <w:rPr>
                <w:rFonts w:hint="eastAsia" w:ascii="Arial" w:hAnsi="Arial" w:cs="Arial"/>
                <w:szCs w:val="21"/>
                <w:shd w:val="clear" w:color="auto" w:fill="FFFFFF"/>
              </w:rPr>
            </w:pPr>
            <w:r>
              <w:rPr>
                <w:rFonts w:hint="eastAsia" w:ascii="Arial" w:hAnsi="Arial" w:cs="Arial"/>
                <w:szCs w:val="21"/>
                <w:shd w:val="clear" w:color="auto" w:fill="FFFFFF"/>
              </w:rPr>
              <w:t>6、叉杆中点抗弯能力：约600N</w:t>
            </w:r>
          </w:p>
          <w:p>
            <w:pPr>
              <w:snapToGrid w:val="0"/>
              <w:spacing w:line="320" w:lineRule="exact"/>
              <w:jc w:val="left"/>
              <w:rPr>
                <w:rFonts w:hint="eastAsia" w:ascii="Arial" w:hAnsi="Arial" w:cs="Arial"/>
                <w:szCs w:val="21"/>
                <w:shd w:val="clear" w:color="auto" w:fill="FFFFFF"/>
              </w:rPr>
            </w:pPr>
            <w:r>
              <w:rPr>
                <w:rFonts w:hint="eastAsia" w:ascii="Arial" w:hAnsi="Arial" w:cs="Arial"/>
                <w:b/>
                <w:bCs/>
                <w:szCs w:val="21"/>
                <w:shd w:val="clear" w:color="auto" w:fill="FFFFFF"/>
              </w:rPr>
              <w:t>执行标准：《Q/AH01-2013便携式防暴钢叉》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24" w:hRule="atLeast"/>
        </w:trPr>
        <w:tc>
          <w:tcPr>
            <w:tcW w:w="648" w:type="dxa"/>
            <w:vAlign w:val="top"/>
          </w:tcPr>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p>
          <w:p>
            <w:pPr>
              <w:tabs>
                <w:tab w:val="left" w:pos="180"/>
                <w:tab w:val="left" w:pos="1620"/>
              </w:tabs>
              <w:spacing w:line="300" w:lineRule="auto"/>
              <w:rPr>
                <w:rFonts w:hint="eastAsia" w:ascii="宋体" w:hAnsi="宋体"/>
                <w:szCs w:val="21"/>
              </w:rPr>
            </w:pPr>
            <w:r>
              <w:rPr>
                <w:rFonts w:hint="eastAsia" w:ascii="宋体" w:hAnsi="宋体"/>
                <w:szCs w:val="21"/>
              </w:rPr>
              <w:t>12</w:t>
            </w:r>
          </w:p>
        </w:tc>
        <w:tc>
          <w:tcPr>
            <w:tcW w:w="1800" w:type="dxa"/>
            <w:vAlign w:val="center"/>
          </w:tcPr>
          <w:p>
            <w:pPr>
              <w:jc w:val="left"/>
              <w:rPr>
                <w:rFonts w:ascii="宋体" w:hAnsi="宋体"/>
                <w:szCs w:val="21"/>
              </w:rPr>
            </w:pPr>
            <w:r>
              <w:rPr>
                <w:rFonts w:hint="eastAsia" w:ascii="Arial" w:hAnsi="Arial" w:cs="Arial"/>
                <w:szCs w:val="21"/>
              </w:rPr>
              <w:t>反光衣</w:t>
            </w:r>
          </w:p>
        </w:tc>
        <w:tc>
          <w:tcPr>
            <w:tcW w:w="779" w:type="dxa"/>
            <w:vAlign w:val="center"/>
          </w:tcPr>
          <w:p>
            <w:pPr>
              <w:snapToGrid w:val="0"/>
              <w:spacing w:line="320" w:lineRule="exact"/>
              <w:jc w:val="center"/>
              <w:rPr>
                <w:rFonts w:hint="eastAsia" w:ascii="宋体" w:hAnsi="宋体"/>
                <w:szCs w:val="21"/>
              </w:rPr>
            </w:pPr>
          </w:p>
        </w:tc>
        <w:tc>
          <w:tcPr>
            <w:tcW w:w="5521" w:type="dxa"/>
            <w:vAlign w:val="center"/>
          </w:tcPr>
          <w:p>
            <w:pPr>
              <w:widowControl/>
              <w:spacing w:line="300" w:lineRule="atLeast"/>
              <w:jc w:val="left"/>
              <w:textAlignment w:val="baseline"/>
              <w:rPr>
                <w:rFonts w:ascii="Arial" w:hAnsi="Arial" w:cs="Arial"/>
                <w:color w:val="000000"/>
                <w:kern w:val="0"/>
                <w:sz w:val="18"/>
                <w:szCs w:val="18"/>
              </w:rPr>
            </w:pPr>
            <w:r>
              <w:rPr>
                <w:rFonts w:hint="eastAsia" w:ascii="宋体" w:hAnsi="宋体" w:cs="Arial"/>
                <w:bCs/>
                <w:color w:val="000000"/>
                <w:kern w:val="0"/>
              </w:rPr>
              <w:t>一、功能特点：</w:t>
            </w:r>
          </w:p>
          <w:p>
            <w:pPr>
              <w:widowControl/>
              <w:spacing w:line="300" w:lineRule="atLeast"/>
              <w:jc w:val="left"/>
              <w:textAlignment w:val="baseline"/>
              <w:rPr>
                <w:rFonts w:ascii="Arial" w:hAnsi="Arial" w:cs="Arial"/>
                <w:color w:val="000000"/>
                <w:kern w:val="0"/>
                <w:sz w:val="18"/>
                <w:szCs w:val="18"/>
              </w:rPr>
            </w:pPr>
            <w:r>
              <w:rPr>
                <w:rFonts w:hint="eastAsia" w:ascii="宋体" w:hAnsi="宋体" w:cs="Arial"/>
                <w:color w:val="000000"/>
                <w:kern w:val="0"/>
                <w:szCs w:val="21"/>
              </w:rPr>
              <w:t>肩部采用镂空方式，可全露警衔。腰围采用松紧带和尼龙搭扣移动调节，最大调节总量为</w:t>
            </w:r>
            <w:r>
              <w:rPr>
                <w:color w:val="000000"/>
                <w:kern w:val="0"/>
                <w:szCs w:val="21"/>
              </w:rPr>
              <w:t>20</w:t>
            </w:r>
            <w:r>
              <w:rPr>
                <w:rFonts w:hint="eastAsia" w:ascii="宋体" w:hAnsi="宋体" w:cs="Arial"/>
                <w:color w:val="000000"/>
                <w:kern w:val="0"/>
                <w:szCs w:val="21"/>
              </w:rPr>
              <w:t>公分。松紧带本身的伸缩，保证不同腰围尺寸者和夏、冬季的使用。反光背心根据套装式结构原理，在前襟缝制开口拉链，保证穿着后的贴身和整齐。采用玻璃微珠反光材料，易折叠保管，冬季不会脆裂。</w:t>
            </w:r>
          </w:p>
          <w:p>
            <w:pPr>
              <w:widowControl/>
              <w:spacing w:line="300" w:lineRule="atLeast"/>
              <w:jc w:val="left"/>
              <w:textAlignment w:val="baseline"/>
              <w:rPr>
                <w:rFonts w:ascii="Arial" w:hAnsi="Arial" w:cs="Arial"/>
                <w:color w:val="000000"/>
                <w:kern w:val="0"/>
                <w:sz w:val="18"/>
                <w:szCs w:val="18"/>
              </w:rPr>
            </w:pPr>
            <w:r>
              <w:rPr>
                <w:rFonts w:hint="eastAsia" w:ascii="宋体" w:hAnsi="宋体" w:cs="Arial"/>
                <w:bCs/>
                <w:color w:val="000000"/>
                <w:kern w:val="0"/>
              </w:rPr>
              <w:t>二、技术参数：</w:t>
            </w:r>
          </w:p>
          <w:tbl>
            <w:tblPr>
              <w:tblStyle w:val="4"/>
              <w:tblW w:w="5220" w:type="dxa"/>
              <w:tblInd w:w="0" w:type="dxa"/>
              <w:tblLayout w:type="fixed"/>
              <w:tblCellMar>
                <w:top w:w="0" w:type="dxa"/>
                <w:left w:w="0" w:type="dxa"/>
                <w:bottom w:w="0" w:type="dxa"/>
                <w:right w:w="0" w:type="dxa"/>
              </w:tblCellMar>
            </w:tblPr>
            <w:tblGrid>
              <w:gridCol w:w="720"/>
              <w:gridCol w:w="4500"/>
            </w:tblGrid>
            <w:tr>
              <w:tblPrEx>
                <w:tblLayout w:type="fixed"/>
                <w:tblCellMar>
                  <w:top w:w="0" w:type="dxa"/>
                  <w:left w:w="0" w:type="dxa"/>
                  <w:bottom w:w="0" w:type="dxa"/>
                  <w:right w:w="0" w:type="dxa"/>
                </w:tblCellMar>
              </w:tblPrEx>
              <w:trPr>
                <w:trHeight w:val="898" w:hRule="atLeast"/>
              </w:trPr>
              <w:tc>
                <w:tcPr>
                  <w:tcW w:w="72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atLeast"/>
                    <w:jc w:val="center"/>
                    <w:textAlignment w:val="baseline"/>
                    <w:rPr>
                      <w:rFonts w:ascii="Arial" w:hAnsi="Arial" w:cs="Arial"/>
                      <w:color w:val="000000"/>
                      <w:kern w:val="0"/>
                      <w:sz w:val="18"/>
                      <w:szCs w:val="18"/>
                    </w:rPr>
                  </w:pPr>
                  <w:r>
                    <w:rPr>
                      <w:rFonts w:hint="eastAsia" w:ascii="宋体" w:hAnsi="宋体" w:cs="Arial"/>
                      <w:color w:val="000000"/>
                      <w:kern w:val="0"/>
                      <w:szCs w:val="21"/>
                    </w:rPr>
                    <w:t>颜色</w:t>
                  </w:r>
                </w:p>
              </w:tc>
              <w:tc>
                <w:tcPr>
                  <w:tcW w:w="4500" w:type="dxa"/>
                  <w:tcBorders>
                    <w:top w:val="single" w:color="auto" w:sz="8" w:space="0"/>
                    <w:left w:val="outset" w:color="ECE9D8" w:sz="6" w:space="0"/>
                    <w:bottom w:val="single" w:color="auto" w:sz="8" w:space="0"/>
                    <w:right w:val="single" w:color="auto" w:sz="8" w:space="0"/>
                  </w:tcBorders>
                  <w:tcMar>
                    <w:top w:w="0" w:type="dxa"/>
                    <w:left w:w="108" w:type="dxa"/>
                    <w:bottom w:w="0" w:type="dxa"/>
                    <w:right w:w="108" w:type="dxa"/>
                  </w:tcMar>
                  <w:vAlign w:val="center"/>
                </w:tcPr>
                <w:p>
                  <w:pPr>
                    <w:widowControl/>
                    <w:textAlignment w:val="baseline"/>
                    <w:rPr>
                      <w:rFonts w:ascii="Arial" w:hAnsi="Arial" w:cs="Arial"/>
                      <w:color w:val="000000"/>
                      <w:kern w:val="0"/>
                      <w:sz w:val="18"/>
                      <w:szCs w:val="18"/>
                    </w:rPr>
                  </w:pPr>
                  <w:r>
                    <w:rPr>
                      <w:rFonts w:hint="eastAsia" w:ascii="宋体" w:hAnsi="宋体" w:cs="Arial"/>
                      <w:color w:val="000000"/>
                      <w:kern w:val="0"/>
                      <w:szCs w:val="21"/>
                    </w:rPr>
                    <w:t>黄色涤纶网眼布，局部加缝黄色针织布</w:t>
                  </w:r>
                </w:p>
              </w:tc>
            </w:tr>
            <w:tr>
              <w:tblPrEx>
                <w:tblLayout w:type="fixed"/>
                <w:tblCellMar>
                  <w:top w:w="0" w:type="dxa"/>
                  <w:left w:w="0" w:type="dxa"/>
                  <w:bottom w:w="0" w:type="dxa"/>
                  <w:right w:w="0" w:type="dxa"/>
                </w:tblCellMar>
              </w:tblPrEx>
              <w:trPr>
                <w:trHeight w:val="1201" w:hRule="atLeast"/>
              </w:trPr>
              <w:tc>
                <w:tcPr>
                  <w:tcW w:w="720" w:type="dxa"/>
                  <w:tcBorders>
                    <w:top w:val="outset" w:color="ECE9D8" w:sz="6"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atLeast"/>
                    <w:jc w:val="center"/>
                    <w:textAlignment w:val="baseline"/>
                    <w:rPr>
                      <w:rFonts w:ascii="Arial" w:hAnsi="Arial" w:cs="Arial"/>
                      <w:color w:val="000000"/>
                      <w:kern w:val="0"/>
                      <w:sz w:val="18"/>
                      <w:szCs w:val="18"/>
                    </w:rPr>
                  </w:pPr>
                  <w:r>
                    <w:rPr>
                      <w:rFonts w:hint="eastAsia" w:ascii="宋体" w:hAnsi="宋体" w:cs="Arial"/>
                      <w:color w:val="000000"/>
                      <w:kern w:val="0"/>
                      <w:szCs w:val="21"/>
                    </w:rPr>
                    <w:t>规格</w:t>
                  </w:r>
                </w:p>
              </w:tc>
              <w:tc>
                <w:tcPr>
                  <w:tcW w:w="4500" w:type="dxa"/>
                  <w:tcBorders>
                    <w:top w:val="outset" w:color="ECE9D8" w:sz="6" w:space="0"/>
                    <w:left w:val="outset" w:color="ECE9D8" w:sz="6" w:space="0"/>
                    <w:bottom w:val="single" w:color="auto" w:sz="8" w:space="0"/>
                    <w:right w:val="single" w:color="auto" w:sz="8" w:space="0"/>
                  </w:tcBorders>
                  <w:tcMar>
                    <w:top w:w="0" w:type="dxa"/>
                    <w:left w:w="108" w:type="dxa"/>
                    <w:bottom w:w="0" w:type="dxa"/>
                    <w:right w:w="108" w:type="dxa"/>
                  </w:tcMar>
                  <w:vAlign w:val="center"/>
                </w:tcPr>
                <w:p>
                  <w:pPr>
                    <w:widowControl/>
                    <w:textAlignment w:val="baseline"/>
                    <w:rPr>
                      <w:rFonts w:hint="eastAsia" w:ascii="宋体" w:hAnsi="宋体" w:cs="Arial"/>
                      <w:color w:val="000000"/>
                      <w:kern w:val="0"/>
                      <w:szCs w:val="21"/>
                    </w:rPr>
                  </w:pPr>
                  <w:r>
                    <w:rPr>
                      <w:rFonts w:hint="eastAsia" w:ascii="宋体" w:hAnsi="宋体" w:cs="Arial"/>
                      <w:color w:val="000000"/>
                      <w:kern w:val="0"/>
                      <w:szCs w:val="21"/>
                    </w:rPr>
                    <w:t>S号：165cm～170cm</w:t>
                  </w:r>
                </w:p>
                <w:p>
                  <w:pPr>
                    <w:widowControl/>
                    <w:textAlignment w:val="baseline"/>
                    <w:rPr>
                      <w:rFonts w:hint="eastAsia" w:ascii="宋体" w:hAnsi="宋体" w:cs="Arial"/>
                      <w:color w:val="000000"/>
                      <w:kern w:val="0"/>
                      <w:szCs w:val="21"/>
                    </w:rPr>
                  </w:pPr>
                  <w:r>
                    <w:rPr>
                      <w:rFonts w:hint="eastAsia" w:ascii="宋体" w:hAnsi="宋体" w:cs="Arial"/>
                      <w:color w:val="000000"/>
                      <w:kern w:val="0"/>
                      <w:szCs w:val="21"/>
                    </w:rPr>
                    <w:t>M号：171cm～175cm</w:t>
                  </w:r>
                </w:p>
                <w:p>
                  <w:pPr>
                    <w:widowControl/>
                    <w:textAlignment w:val="baseline"/>
                    <w:rPr>
                      <w:rFonts w:hint="eastAsia" w:ascii="宋体" w:hAnsi="宋体" w:cs="Arial"/>
                      <w:color w:val="000000"/>
                      <w:kern w:val="0"/>
                      <w:szCs w:val="21"/>
                    </w:rPr>
                  </w:pPr>
                  <w:r>
                    <w:rPr>
                      <w:rFonts w:hint="eastAsia" w:ascii="宋体" w:hAnsi="宋体" w:cs="Arial"/>
                      <w:color w:val="000000"/>
                      <w:kern w:val="0"/>
                      <w:szCs w:val="21"/>
                    </w:rPr>
                    <w:t>L号：176cm～180cm</w:t>
                  </w:r>
                </w:p>
                <w:p>
                  <w:pPr>
                    <w:widowControl/>
                    <w:textAlignment w:val="baseline"/>
                    <w:rPr>
                      <w:rFonts w:ascii="Arial" w:hAnsi="Arial" w:cs="Arial"/>
                      <w:color w:val="000000"/>
                      <w:kern w:val="0"/>
                      <w:sz w:val="18"/>
                      <w:szCs w:val="18"/>
                    </w:rPr>
                  </w:pPr>
                  <w:r>
                    <w:rPr>
                      <w:rFonts w:hint="eastAsia" w:ascii="宋体" w:hAnsi="宋体" w:cs="Arial"/>
                      <w:color w:val="000000"/>
                      <w:kern w:val="0"/>
                      <w:szCs w:val="21"/>
                    </w:rPr>
                    <w:t>XL号：181cm～190cm</w:t>
                  </w:r>
                </w:p>
              </w:tc>
            </w:tr>
            <w:tr>
              <w:tblPrEx>
                <w:tblLayout w:type="fixed"/>
                <w:tblCellMar>
                  <w:top w:w="0" w:type="dxa"/>
                  <w:left w:w="0" w:type="dxa"/>
                  <w:bottom w:w="0" w:type="dxa"/>
                  <w:right w:w="0" w:type="dxa"/>
                </w:tblCellMar>
              </w:tblPrEx>
              <w:trPr>
                <w:trHeight w:val="1173" w:hRule="atLeast"/>
              </w:trPr>
              <w:tc>
                <w:tcPr>
                  <w:tcW w:w="720" w:type="dxa"/>
                  <w:tcBorders>
                    <w:top w:val="outset" w:color="ECE9D8" w:sz="6"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atLeast"/>
                    <w:jc w:val="center"/>
                    <w:textAlignment w:val="baseline"/>
                    <w:rPr>
                      <w:rFonts w:ascii="Arial" w:hAnsi="Arial" w:cs="Arial"/>
                      <w:color w:val="000000"/>
                      <w:kern w:val="0"/>
                      <w:sz w:val="18"/>
                      <w:szCs w:val="18"/>
                    </w:rPr>
                  </w:pPr>
                  <w:r>
                    <w:rPr>
                      <w:rFonts w:hint="eastAsia" w:ascii="宋体" w:hAnsi="宋体" w:cs="Arial"/>
                      <w:color w:val="000000"/>
                      <w:kern w:val="0"/>
                      <w:szCs w:val="21"/>
                    </w:rPr>
                    <w:t>材质</w:t>
                  </w:r>
                </w:p>
              </w:tc>
              <w:tc>
                <w:tcPr>
                  <w:tcW w:w="4500" w:type="dxa"/>
                  <w:tcBorders>
                    <w:top w:val="outset" w:color="ECE9D8" w:sz="6" w:space="0"/>
                    <w:left w:val="outset" w:color="ECE9D8" w:sz="6" w:space="0"/>
                    <w:bottom w:val="single" w:color="auto" w:sz="8" w:space="0"/>
                    <w:right w:val="single" w:color="auto" w:sz="8" w:space="0"/>
                  </w:tcBorders>
                  <w:tcMar>
                    <w:top w:w="0" w:type="dxa"/>
                    <w:left w:w="108" w:type="dxa"/>
                    <w:bottom w:w="0" w:type="dxa"/>
                    <w:right w:w="108" w:type="dxa"/>
                  </w:tcMar>
                  <w:vAlign w:val="center"/>
                </w:tcPr>
                <w:p>
                  <w:pPr>
                    <w:widowControl/>
                    <w:textAlignment w:val="baseline"/>
                    <w:rPr>
                      <w:rFonts w:ascii="Arial" w:hAnsi="Arial" w:cs="Arial"/>
                      <w:color w:val="000000"/>
                      <w:kern w:val="0"/>
                      <w:sz w:val="18"/>
                      <w:szCs w:val="18"/>
                    </w:rPr>
                  </w:pPr>
                  <w:r>
                    <w:rPr>
                      <w:rFonts w:hint="eastAsia" w:ascii="宋体" w:hAnsi="宋体" w:cs="Arial"/>
                      <w:color w:val="000000"/>
                      <w:kern w:val="0"/>
                      <w:szCs w:val="21"/>
                    </w:rPr>
                    <w:t>整体采用黄色涤纶网眼布，局部加缝黄色针织布，采用</w:t>
                  </w:r>
                  <w:r>
                    <w:rPr>
                      <w:color w:val="000000"/>
                      <w:kern w:val="0"/>
                      <w:szCs w:val="21"/>
                    </w:rPr>
                    <w:t>3M</w:t>
                  </w:r>
                  <w:r>
                    <w:rPr>
                      <w:rFonts w:hint="eastAsia" w:ascii="宋体" w:hAnsi="宋体" w:cs="Arial"/>
                      <w:color w:val="000000"/>
                      <w:kern w:val="0"/>
                      <w:szCs w:val="21"/>
                    </w:rPr>
                    <w:t>玻璃微珠反光膜，白色涤纶包边条，白色树脂</w:t>
                  </w:r>
                  <w:r>
                    <w:rPr>
                      <w:color w:val="000000"/>
                      <w:kern w:val="0"/>
                      <w:szCs w:val="21"/>
                    </w:rPr>
                    <w:t>5</w:t>
                  </w:r>
                  <w:r>
                    <w:rPr>
                      <w:rFonts w:hint="eastAsia" w:ascii="宋体" w:hAnsi="宋体" w:cs="Arial"/>
                      <w:color w:val="000000"/>
                      <w:kern w:val="0"/>
                      <w:szCs w:val="21"/>
                    </w:rPr>
                    <w:t>号开口拉链。</w:t>
                  </w:r>
                </w:p>
              </w:tc>
            </w:tr>
            <w:tr>
              <w:tblPrEx>
                <w:tblLayout w:type="fixed"/>
                <w:tblCellMar>
                  <w:top w:w="0" w:type="dxa"/>
                  <w:left w:w="0" w:type="dxa"/>
                  <w:bottom w:w="0" w:type="dxa"/>
                  <w:right w:w="0" w:type="dxa"/>
                </w:tblCellMar>
              </w:tblPrEx>
              <w:trPr>
                <w:trHeight w:val="1795" w:hRule="atLeast"/>
              </w:trPr>
              <w:tc>
                <w:tcPr>
                  <w:tcW w:w="720" w:type="dxa"/>
                  <w:tcBorders>
                    <w:top w:val="outset" w:color="ECE9D8" w:sz="6"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atLeast"/>
                    <w:jc w:val="center"/>
                    <w:textAlignment w:val="baseline"/>
                    <w:rPr>
                      <w:rFonts w:ascii="Arial" w:hAnsi="Arial" w:cs="Arial"/>
                      <w:color w:val="000000"/>
                      <w:kern w:val="0"/>
                      <w:sz w:val="18"/>
                      <w:szCs w:val="18"/>
                    </w:rPr>
                  </w:pPr>
                  <w:r>
                    <w:rPr>
                      <w:rFonts w:hint="eastAsia" w:ascii="宋体" w:hAnsi="宋体" w:cs="Arial"/>
                      <w:color w:val="000000"/>
                      <w:kern w:val="0"/>
                      <w:szCs w:val="21"/>
                    </w:rPr>
                    <w:t>衣服结构</w:t>
                  </w:r>
                </w:p>
              </w:tc>
              <w:tc>
                <w:tcPr>
                  <w:tcW w:w="4500" w:type="dxa"/>
                  <w:tcBorders>
                    <w:top w:val="outset" w:color="ECE9D8" w:sz="6" w:space="0"/>
                    <w:left w:val="outset" w:color="ECE9D8" w:sz="6" w:space="0"/>
                    <w:bottom w:val="single" w:color="auto" w:sz="8" w:space="0"/>
                    <w:right w:val="single" w:color="auto" w:sz="8" w:space="0"/>
                  </w:tcBorders>
                  <w:tcMar>
                    <w:top w:w="0" w:type="dxa"/>
                    <w:left w:w="108" w:type="dxa"/>
                    <w:bottom w:w="0" w:type="dxa"/>
                    <w:right w:w="108" w:type="dxa"/>
                  </w:tcMar>
                  <w:vAlign w:val="center"/>
                </w:tcPr>
                <w:p>
                  <w:pPr>
                    <w:widowControl/>
                    <w:textAlignment w:val="baseline"/>
                    <w:rPr>
                      <w:rFonts w:ascii="Arial" w:hAnsi="Arial" w:cs="Arial"/>
                      <w:color w:val="000000"/>
                      <w:kern w:val="0"/>
                      <w:sz w:val="18"/>
                      <w:szCs w:val="18"/>
                    </w:rPr>
                  </w:pPr>
                  <w:r>
                    <w:rPr>
                      <w:rFonts w:hint="eastAsia" w:ascii="宋体" w:hAnsi="宋体" w:cs="Arial"/>
                      <w:color w:val="000000"/>
                      <w:kern w:val="0"/>
                      <w:szCs w:val="21"/>
                    </w:rPr>
                    <w:t>正面中文</w:t>
                  </w:r>
                  <w:r>
                    <w:rPr>
                      <w:color w:val="000000"/>
                      <w:kern w:val="0"/>
                      <w:szCs w:val="21"/>
                    </w:rPr>
                    <w:t>“</w:t>
                  </w:r>
                  <w:r>
                    <w:rPr>
                      <w:rFonts w:hint="eastAsia" w:ascii="宋体" w:hAnsi="宋体" w:cs="Arial"/>
                      <w:color w:val="000000"/>
                      <w:kern w:val="0"/>
                      <w:szCs w:val="21"/>
                    </w:rPr>
                    <w:t>警察</w:t>
                  </w:r>
                  <w:r>
                    <w:rPr>
                      <w:color w:val="000000"/>
                      <w:kern w:val="0"/>
                      <w:szCs w:val="21"/>
                    </w:rPr>
                    <w:t>”</w:t>
                  </w:r>
                  <w:r>
                    <w:rPr>
                      <w:rFonts w:hint="eastAsia" w:ascii="宋体" w:hAnsi="宋体" w:cs="Arial"/>
                      <w:color w:val="000000"/>
                      <w:kern w:val="0"/>
                      <w:szCs w:val="21"/>
                    </w:rPr>
                    <w:t>反光字</w:t>
                  </w:r>
                  <w:r>
                    <w:rPr>
                      <w:color w:val="000000"/>
                      <w:kern w:val="0"/>
                      <w:szCs w:val="21"/>
                    </w:rPr>
                    <w:t>+</w:t>
                  </w:r>
                  <w:r>
                    <w:rPr>
                      <w:rFonts w:hint="eastAsia" w:ascii="宋体" w:hAnsi="宋体" w:cs="Arial"/>
                      <w:color w:val="000000"/>
                      <w:kern w:val="0"/>
                      <w:szCs w:val="21"/>
                    </w:rPr>
                    <w:t>横式反光带，背面英文</w:t>
                  </w:r>
                  <w:r>
                    <w:rPr>
                      <w:color w:val="000000"/>
                      <w:kern w:val="0"/>
                      <w:szCs w:val="21"/>
                    </w:rPr>
                    <w:t>“POLICE”</w:t>
                  </w:r>
                  <w:r>
                    <w:rPr>
                      <w:rFonts w:hint="eastAsia" w:ascii="宋体" w:hAnsi="宋体" w:cs="Arial"/>
                      <w:color w:val="000000"/>
                      <w:kern w:val="0"/>
                      <w:szCs w:val="21"/>
                    </w:rPr>
                    <w:t>发光字</w:t>
                  </w:r>
                  <w:r>
                    <w:rPr>
                      <w:color w:val="000000"/>
                      <w:kern w:val="0"/>
                      <w:szCs w:val="21"/>
                    </w:rPr>
                    <w:t>+</w:t>
                  </w:r>
                  <w:r>
                    <w:rPr>
                      <w:rFonts w:hint="eastAsia" w:ascii="宋体" w:hAnsi="宋体" w:cs="Arial"/>
                      <w:color w:val="000000"/>
                      <w:kern w:val="0"/>
                      <w:szCs w:val="21"/>
                    </w:rPr>
                    <w:t>斜、横反光带，前襟开口拉链，腰围两侧松紧带尼龙搭扣移位调节，最大调节幅度尺寸</w:t>
                  </w:r>
                  <w:r>
                    <w:rPr>
                      <w:color w:val="000000"/>
                      <w:kern w:val="0"/>
                      <w:szCs w:val="21"/>
                    </w:rPr>
                    <w:t>10cm</w:t>
                  </w:r>
                  <w:r>
                    <w:rPr>
                      <w:rFonts w:hint="eastAsia" w:ascii="宋体" w:hAnsi="宋体" w:cs="Arial"/>
                      <w:color w:val="000000"/>
                      <w:kern w:val="0"/>
                      <w:szCs w:val="21"/>
                    </w:rPr>
                    <w:t>×</w:t>
                  </w:r>
                  <w:r>
                    <w:rPr>
                      <w:color w:val="000000"/>
                      <w:kern w:val="0"/>
                      <w:szCs w:val="21"/>
                    </w:rPr>
                    <w:t>2</w:t>
                  </w:r>
                  <w:r>
                    <w:rPr>
                      <w:rFonts w:hint="eastAsia" w:ascii="宋体" w:hAnsi="宋体" w:cs="Arial"/>
                      <w:color w:val="000000"/>
                      <w:kern w:val="0"/>
                      <w:szCs w:val="21"/>
                    </w:rPr>
                    <w:t>，肩部镂空，可以把警衔全露出来。</w:t>
                  </w:r>
                </w:p>
              </w:tc>
            </w:tr>
          </w:tbl>
          <w:p>
            <w:pPr>
              <w:snapToGrid w:val="0"/>
              <w:spacing w:line="320" w:lineRule="exact"/>
              <w:rPr>
                <w:rFonts w:hint="eastAsia" w:ascii="Arial" w:hAnsi="Arial" w:cs="Arial"/>
                <w:szCs w:val="21"/>
                <w:shd w:val="clear" w:color="auto" w:fill="FFFFFF"/>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75" w:afterAutospacing="0" w:line="600" w:lineRule="atLeast"/>
        <w:ind w:left="0" w:right="0" w:firstLine="420"/>
        <w:jc w:val="left"/>
        <w:rPr>
          <w:rFonts w:ascii="仿宋" w:hAnsi="仿宋" w:eastAsia="仿宋" w:cs="仿宋"/>
          <w:b w:val="0"/>
          <w:i w:val="0"/>
          <w:caps w:val="0"/>
          <w:color w:val="000000"/>
          <w:spacing w:val="0"/>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新宋体">
    <w:panose1 w:val="02010609030101010101"/>
    <w:charset w:val="86"/>
    <w:family w:val="modern"/>
    <w:pitch w:val="default"/>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9E6E8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2016-12-16T17:03:11Z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