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ind w:firstLine="431"/>
        <w:rPr>
          <w:rFonts w:ascii="宋体" w:hAnsi="宋体"/>
          <w:szCs w:val="21"/>
        </w:rPr>
      </w:pPr>
      <w:r>
        <w:rPr>
          <w:rFonts w:hint="eastAsia" w:ascii="宋体" w:hAnsi="宋体"/>
          <w:szCs w:val="21"/>
        </w:rPr>
        <w:t>1、</w:t>
      </w:r>
      <w:r>
        <w:rPr>
          <w:rFonts w:hint="eastAsia" w:hAnsi="宋体"/>
          <w:szCs w:val="21"/>
        </w:rPr>
        <w:t>本货物需求一览表中所列的品牌、型号</w:t>
      </w:r>
      <w:r>
        <w:rPr>
          <w:rFonts w:hint="eastAsia" w:hAnsi="宋体"/>
          <w:b/>
          <w:szCs w:val="21"/>
        </w:rPr>
        <w:t>仅起参考作</w:t>
      </w:r>
      <w:r>
        <w:rPr>
          <w:rFonts w:hint="eastAsia" w:hAnsi="宋体"/>
          <w:szCs w:val="21"/>
        </w:rPr>
        <w:t>用，竞标人可选用其他品牌、型号替代，但替代的品牌、型号在实质性要求和条件上要</w:t>
      </w:r>
      <w:r>
        <w:rPr>
          <w:rFonts w:hint="eastAsia" w:hAnsi="宋体"/>
          <w:b/>
          <w:szCs w:val="21"/>
        </w:rPr>
        <w:t>相当于或优于</w:t>
      </w:r>
      <w:r>
        <w:rPr>
          <w:rFonts w:hint="eastAsia" w:hAnsi="宋体"/>
          <w:szCs w:val="21"/>
        </w:rPr>
        <w:t>参考品牌、型号。</w:t>
      </w:r>
    </w:p>
    <w:p>
      <w:pPr>
        <w:ind w:firstLine="420" w:firstLineChars="200"/>
        <w:rPr>
          <w:rFonts w:hint="eastAsia" w:ascii="宋体" w:hAnsi="宋体"/>
          <w:szCs w:val="21"/>
        </w:rPr>
      </w:pPr>
      <w:r>
        <w:rPr>
          <w:rFonts w:hint="eastAsia" w:ascii="宋体" w:hAnsi="宋体"/>
          <w:szCs w:val="21"/>
        </w:rPr>
        <w:t>2、凡在“技术参数要求”中表述为“标配”或“标准配置”的设备，竞标人应按“竞标文件格式”规定的格式在“竞标产品技术资料表”中将其参数详细列明。</w:t>
      </w:r>
    </w:p>
    <w:p>
      <w:pPr>
        <w:ind w:firstLine="420" w:firstLineChars="200"/>
        <w:rPr>
          <w:rFonts w:hint="eastAsia" w:ascii="宋体" w:hAnsi="宋体"/>
          <w:szCs w:val="21"/>
        </w:rPr>
      </w:pPr>
      <w:r>
        <w:rPr>
          <w:rFonts w:hint="eastAsia" w:ascii="宋体" w:hAnsi="宋体"/>
          <w:szCs w:val="21"/>
        </w:rPr>
        <w:t>3、详细参数见附表。</w:t>
      </w:r>
    </w:p>
    <w:tbl>
      <w:tblPr>
        <w:tblStyle w:val="4"/>
        <w:tblW w:w="9650" w:type="dxa"/>
        <w:jc w:val="center"/>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7"/>
        <w:gridCol w:w="444"/>
        <w:gridCol w:w="832"/>
        <w:gridCol w:w="992"/>
        <w:gridCol w:w="667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53" w:hRule="atLeast"/>
          <w:jc w:val="center"/>
        </w:trPr>
        <w:tc>
          <w:tcPr>
            <w:tcW w:w="707"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pPr>
              <w:tabs>
                <w:tab w:val="left" w:pos="180"/>
                <w:tab w:val="left" w:pos="1620"/>
              </w:tabs>
              <w:spacing w:line="300" w:lineRule="exact"/>
              <w:jc w:val="center"/>
              <w:rPr>
                <w:rFonts w:ascii="宋体" w:hAnsi="宋体"/>
                <w:szCs w:val="21"/>
              </w:rPr>
            </w:pPr>
            <w:r>
              <w:rPr>
                <w:rFonts w:hint="eastAsia" w:ascii="宋体" w:hAnsi="宋体"/>
                <w:szCs w:val="21"/>
              </w:rPr>
              <w:t>序号</w:t>
            </w:r>
          </w:p>
        </w:tc>
        <w:tc>
          <w:tcPr>
            <w:tcW w:w="1276" w:type="dxa"/>
            <w:gridSpan w:val="2"/>
            <w:tcBorders>
              <w:top w:val="single" w:color="auto" w:sz="4" w:space="0"/>
              <w:left w:val="single" w:color="auto" w:sz="4" w:space="0"/>
              <w:bottom w:val="single" w:color="auto" w:sz="4" w:space="0"/>
              <w:right w:val="single" w:color="auto" w:sz="4" w:space="0"/>
            </w:tcBorders>
            <w:vAlign w:val="center"/>
          </w:tcPr>
          <w:p>
            <w:pPr>
              <w:tabs>
                <w:tab w:val="left" w:pos="180"/>
                <w:tab w:val="left" w:pos="1620"/>
              </w:tabs>
              <w:spacing w:line="300" w:lineRule="exact"/>
              <w:jc w:val="center"/>
              <w:rPr>
                <w:rFonts w:hint="eastAsia" w:ascii="宋体" w:hAnsi="宋体"/>
                <w:szCs w:val="21"/>
              </w:rPr>
            </w:pPr>
            <w:r>
              <w:rPr>
                <w:rFonts w:hint="eastAsia" w:ascii="宋体" w:hAnsi="宋体"/>
                <w:szCs w:val="21"/>
              </w:rPr>
              <w:t>货物</w:t>
            </w:r>
          </w:p>
          <w:p>
            <w:pPr>
              <w:tabs>
                <w:tab w:val="left" w:pos="180"/>
                <w:tab w:val="left" w:pos="1620"/>
              </w:tabs>
              <w:spacing w:line="300" w:lineRule="exact"/>
              <w:jc w:val="center"/>
              <w:rPr>
                <w:rFonts w:ascii="宋体" w:hAnsi="宋体"/>
                <w:szCs w:val="21"/>
              </w:rPr>
            </w:pPr>
            <w:r>
              <w:rPr>
                <w:rFonts w:hint="eastAsia" w:ascii="宋体" w:hAnsi="宋体"/>
                <w:szCs w:val="21"/>
              </w:rPr>
              <w:t>名称</w:t>
            </w:r>
          </w:p>
        </w:tc>
        <w:tc>
          <w:tcPr>
            <w:tcW w:w="992" w:type="dxa"/>
            <w:tcBorders>
              <w:top w:val="single" w:color="auto" w:sz="4" w:space="0"/>
              <w:left w:val="single" w:color="auto" w:sz="4" w:space="0"/>
              <w:bottom w:val="single" w:color="auto" w:sz="4" w:space="0"/>
              <w:right w:val="single" w:color="auto" w:sz="4" w:space="0"/>
            </w:tcBorders>
            <w:vAlign w:val="center"/>
          </w:tcPr>
          <w:p>
            <w:pPr>
              <w:tabs>
                <w:tab w:val="left" w:pos="180"/>
                <w:tab w:val="left" w:pos="1620"/>
              </w:tabs>
              <w:spacing w:line="500" w:lineRule="exact"/>
              <w:jc w:val="center"/>
              <w:rPr>
                <w:rFonts w:ascii="宋体" w:hAnsi="宋体"/>
                <w:szCs w:val="21"/>
              </w:rPr>
            </w:pPr>
            <w:r>
              <w:rPr>
                <w:rFonts w:hint="eastAsia" w:ascii="宋体" w:hAnsi="宋体"/>
                <w:szCs w:val="21"/>
              </w:rPr>
              <w:t>数量</w:t>
            </w:r>
          </w:p>
        </w:tc>
        <w:tc>
          <w:tcPr>
            <w:tcW w:w="6675" w:type="dxa"/>
            <w:tcBorders>
              <w:top w:val="single" w:color="auto" w:sz="4" w:space="0"/>
              <w:left w:val="single" w:color="auto" w:sz="4" w:space="0"/>
              <w:bottom w:val="single" w:color="auto" w:sz="4" w:space="0"/>
              <w:right w:val="single" w:color="auto" w:sz="4" w:space="0"/>
            </w:tcBorders>
            <w:vAlign w:val="center"/>
          </w:tcPr>
          <w:p>
            <w:pPr>
              <w:tabs>
                <w:tab w:val="left" w:pos="180"/>
                <w:tab w:val="left" w:pos="1620"/>
              </w:tabs>
              <w:spacing w:line="500" w:lineRule="exact"/>
              <w:jc w:val="center"/>
              <w:rPr>
                <w:rFonts w:ascii="宋体" w:hAnsi="宋体"/>
                <w:szCs w:val="21"/>
              </w:rPr>
            </w:pPr>
            <w:r>
              <w:rPr>
                <w:rFonts w:hint="eastAsia" w:ascii="宋体" w:hAnsi="宋体"/>
                <w:szCs w:val="21"/>
              </w:rPr>
              <w:t>技术参数要求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7077" w:hRule="atLeast"/>
          <w:jc w:val="center"/>
        </w:trPr>
        <w:tc>
          <w:tcPr>
            <w:tcW w:w="707" w:type="dxa"/>
            <w:tcBorders>
              <w:top w:val="single" w:color="auto" w:sz="4" w:space="0"/>
              <w:left w:val="single" w:color="auto" w:sz="4" w:space="0"/>
              <w:right w:val="single" w:color="auto" w:sz="4" w:space="0"/>
            </w:tcBorders>
            <w:tcMar>
              <w:top w:w="0" w:type="dxa"/>
              <w:left w:w="0" w:type="dxa"/>
              <w:bottom w:w="0" w:type="dxa"/>
              <w:right w:w="0" w:type="dxa"/>
            </w:tcMar>
            <w:vAlign w:val="center"/>
          </w:tcPr>
          <w:p>
            <w:pPr>
              <w:tabs>
                <w:tab w:val="left" w:pos="180"/>
                <w:tab w:val="left" w:pos="1620"/>
              </w:tabs>
              <w:spacing w:line="300" w:lineRule="exact"/>
              <w:jc w:val="center"/>
              <w:rPr>
                <w:rFonts w:hint="eastAsia" w:ascii="宋体" w:hAnsi="宋体"/>
                <w:szCs w:val="21"/>
              </w:rPr>
            </w:pPr>
            <w:r>
              <w:rPr>
                <w:rFonts w:hint="eastAsia" w:ascii="宋体" w:hAnsi="宋体"/>
                <w:szCs w:val="21"/>
              </w:rPr>
              <w:t>1</w:t>
            </w:r>
          </w:p>
        </w:tc>
        <w:tc>
          <w:tcPr>
            <w:tcW w:w="1276" w:type="dxa"/>
            <w:gridSpan w:val="2"/>
            <w:tcBorders>
              <w:top w:val="single" w:color="auto" w:sz="4" w:space="0"/>
              <w:left w:val="single" w:color="auto" w:sz="4" w:space="0"/>
              <w:right w:val="single" w:color="auto" w:sz="4" w:space="0"/>
            </w:tcBorders>
            <w:vAlign w:val="center"/>
          </w:tcPr>
          <w:p>
            <w:pPr>
              <w:tabs>
                <w:tab w:val="left" w:pos="180"/>
                <w:tab w:val="left" w:pos="1620"/>
              </w:tabs>
              <w:spacing w:line="300" w:lineRule="exact"/>
              <w:jc w:val="center"/>
              <w:rPr>
                <w:rFonts w:hint="eastAsia" w:ascii="宋体" w:hAnsi="宋体"/>
                <w:szCs w:val="21"/>
              </w:rPr>
            </w:pPr>
            <w:r>
              <w:rPr>
                <w:rFonts w:hint="eastAsia" w:ascii="宋体" w:hAnsi="宋体"/>
                <w:szCs w:val="21"/>
              </w:rPr>
              <w:t>电钢琴</w:t>
            </w:r>
          </w:p>
        </w:tc>
        <w:tc>
          <w:tcPr>
            <w:tcW w:w="992" w:type="dxa"/>
            <w:tcBorders>
              <w:top w:val="single" w:color="auto" w:sz="4" w:space="0"/>
              <w:left w:val="single" w:color="auto" w:sz="4" w:space="0"/>
              <w:right w:val="single" w:color="auto" w:sz="4" w:space="0"/>
            </w:tcBorders>
            <w:vAlign w:val="center"/>
          </w:tcPr>
          <w:p>
            <w:pPr>
              <w:tabs>
                <w:tab w:val="left" w:pos="180"/>
                <w:tab w:val="left" w:pos="1620"/>
              </w:tabs>
              <w:spacing w:line="500" w:lineRule="exact"/>
              <w:jc w:val="center"/>
              <w:rPr>
                <w:rFonts w:hint="eastAsia" w:ascii="宋体" w:hAnsi="宋体"/>
                <w:szCs w:val="21"/>
              </w:rPr>
            </w:pPr>
            <w:r>
              <w:rPr>
                <w:rFonts w:ascii="宋体" w:hAnsi="宋体"/>
                <w:szCs w:val="21"/>
              </w:rPr>
              <w:t>100套</w:t>
            </w:r>
          </w:p>
        </w:tc>
        <w:tc>
          <w:tcPr>
            <w:tcW w:w="6675" w:type="dxa"/>
            <w:tcBorders>
              <w:top w:val="single" w:color="auto" w:sz="4" w:space="0"/>
              <w:left w:val="single" w:color="auto" w:sz="4" w:space="0"/>
              <w:right w:val="single" w:color="auto" w:sz="4" w:space="0"/>
            </w:tcBorders>
            <w:vAlign w:val="center"/>
          </w:tcPr>
          <w:p>
            <w:pPr>
              <w:tabs>
                <w:tab w:val="left" w:pos="180"/>
                <w:tab w:val="left" w:pos="1620"/>
              </w:tabs>
              <w:spacing w:line="500" w:lineRule="exact"/>
              <w:jc w:val="left"/>
              <w:rPr>
                <w:rFonts w:ascii="宋体" w:hAnsi="宋体"/>
                <w:szCs w:val="21"/>
              </w:rPr>
            </w:pPr>
            <w:r>
              <w:rPr>
                <w:rFonts w:hint="eastAsia" w:ascii="宋体" w:hAnsi="宋体"/>
                <w:szCs w:val="21"/>
              </w:rPr>
              <w:t>1）键盘：</w:t>
            </w:r>
            <w:r>
              <w:rPr>
                <w:rFonts w:ascii="宋体" w:hAnsi="宋体"/>
                <w:szCs w:val="21"/>
              </w:rPr>
              <w:t>88</w:t>
            </w:r>
            <w:r>
              <w:rPr>
                <w:rFonts w:hint="eastAsia" w:ascii="宋体" w:hAnsi="宋体"/>
                <w:szCs w:val="21"/>
              </w:rPr>
              <w:t>键重锤触感钢琴键盘，具有钢琴缓降式防尘盖板</w:t>
            </w:r>
          </w:p>
          <w:p>
            <w:pPr>
              <w:tabs>
                <w:tab w:val="left" w:pos="180"/>
                <w:tab w:val="left" w:pos="1620"/>
              </w:tabs>
              <w:spacing w:line="500" w:lineRule="exact"/>
              <w:jc w:val="left"/>
              <w:rPr>
                <w:rFonts w:ascii="宋体" w:hAnsi="宋体"/>
                <w:szCs w:val="21"/>
              </w:rPr>
            </w:pPr>
            <w:r>
              <w:rPr>
                <w:rFonts w:hint="eastAsia" w:ascii="宋体" w:hAnsi="宋体"/>
                <w:szCs w:val="21"/>
              </w:rPr>
              <w:t>2）显示：</w:t>
            </w:r>
            <w:r>
              <w:rPr>
                <w:rFonts w:ascii="宋体" w:hAnsi="宋体"/>
                <w:szCs w:val="21"/>
              </w:rPr>
              <w:t>LCD</w:t>
            </w:r>
            <w:r>
              <w:rPr>
                <w:rFonts w:hint="eastAsia" w:ascii="宋体" w:hAnsi="宋体"/>
                <w:szCs w:val="21"/>
              </w:rPr>
              <w:t>液晶显示</w:t>
            </w:r>
          </w:p>
          <w:p>
            <w:pPr>
              <w:tabs>
                <w:tab w:val="left" w:pos="180"/>
                <w:tab w:val="left" w:pos="1620"/>
              </w:tabs>
              <w:spacing w:line="500" w:lineRule="exact"/>
              <w:jc w:val="left"/>
              <w:rPr>
                <w:rFonts w:ascii="宋体" w:hAnsi="宋体"/>
                <w:szCs w:val="21"/>
              </w:rPr>
            </w:pPr>
            <w:r>
              <w:rPr>
                <w:rFonts w:hint="eastAsia" w:ascii="宋体" w:hAnsi="宋体"/>
                <w:szCs w:val="21"/>
              </w:rPr>
              <w:t>3）复音数：</w:t>
            </w:r>
            <w:r>
              <w:rPr>
                <w:rFonts w:ascii="宋体" w:hAnsi="宋体"/>
                <w:szCs w:val="21"/>
              </w:rPr>
              <w:t>128</w:t>
            </w:r>
          </w:p>
          <w:p>
            <w:pPr>
              <w:tabs>
                <w:tab w:val="left" w:pos="180"/>
                <w:tab w:val="left" w:pos="1620"/>
              </w:tabs>
              <w:spacing w:line="500" w:lineRule="exact"/>
              <w:jc w:val="left"/>
              <w:rPr>
                <w:rFonts w:ascii="宋体" w:hAnsi="宋体"/>
                <w:szCs w:val="21"/>
              </w:rPr>
            </w:pPr>
            <w:r>
              <w:rPr>
                <w:rFonts w:hint="eastAsia" w:ascii="宋体" w:hAnsi="宋体"/>
                <w:szCs w:val="21"/>
              </w:rPr>
              <w:t>★4）声学品质：音准稳定性，连续通电</w:t>
            </w:r>
            <w:r>
              <w:rPr>
                <w:rFonts w:ascii="宋体" w:hAnsi="宋体"/>
                <w:szCs w:val="21"/>
              </w:rPr>
              <w:t>2</w:t>
            </w:r>
            <w:r>
              <w:rPr>
                <w:rFonts w:hint="eastAsia" w:ascii="宋体" w:hAnsi="宋体"/>
                <w:szCs w:val="21"/>
              </w:rPr>
              <w:t>小时，同一音名前后两次所测音高变化应为</w:t>
            </w:r>
            <w:r>
              <w:rPr>
                <w:rFonts w:ascii="宋体" w:hAnsi="宋体"/>
                <w:szCs w:val="21"/>
              </w:rPr>
              <w:t>0</w:t>
            </w:r>
            <w:r>
              <w:rPr>
                <w:rFonts w:hint="eastAsia" w:ascii="宋体" w:hAnsi="宋体"/>
                <w:szCs w:val="21"/>
              </w:rPr>
              <w:t>音分；相邻两键音准误差不大于1</w:t>
            </w:r>
            <w:r>
              <w:rPr>
                <w:rFonts w:ascii="宋体" w:hAnsi="宋体"/>
                <w:szCs w:val="21"/>
              </w:rPr>
              <w:t>.8</w:t>
            </w:r>
            <w:r>
              <w:rPr>
                <w:rFonts w:hint="eastAsia" w:ascii="宋体" w:hAnsi="宋体"/>
                <w:szCs w:val="21"/>
              </w:rPr>
              <w:t>音分；且产品等级评为高级品。</w:t>
            </w:r>
          </w:p>
          <w:p>
            <w:pPr>
              <w:tabs>
                <w:tab w:val="left" w:pos="180"/>
                <w:tab w:val="left" w:pos="1620"/>
              </w:tabs>
              <w:spacing w:line="500" w:lineRule="exact"/>
              <w:jc w:val="left"/>
              <w:rPr>
                <w:rFonts w:ascii="宋体" w:hAnsi="宋体"/>
                <w:szCs w:val="21"/>
              </w:rPr>
            </w:pPr>
            <w:r>
              <w:rPr>
                <w:rFonts w:hint="eastAsia" w:ascii="宋体" w:hAnsi="宋体"/>
                <w:szCs w:val="21"/>
              </w:rPr>
              <w:t>★5）演奏性能：同一台琴上白键下沉偏差应不大于</w:t>
            </w:r>
            <w:r>
              <w:rPr>
                <w:rFonts w:ascii="宋体" w:hAnsi="宋体"/>
                <w:szCs w:val="21"/>
              </w:rPr>
              <w:t>0.</w:t>
            </w:r>
            <w:r>
              <w:rPr>
                <w:rFonts w:hint="eastAsia" w:ascii="宋体" w:hAnsi="宋体"/>
                <w:szCs w:val="21"/>
              </w:rPr>
              <w:t>6</w:t>
            </w:r>
            <w:r>
              <w:rPr>
                <w:rFonts w:ascii="宋体" w:hAnsi="宋体"/>
                <w:szCs w:val="21"/>
              </w:rPr>
              <w:t>mm,</w:t>
            </w:r>
            <w:r>
              <w:rPr>
                <w:rFonts w:hint="eastAsia" w:ascii="宋体" w:hAnsi="宋体"/>
                <w:szCs w:val="21"/>
              </w:rPr>
              <w:t>白键下沉深度值应在</w:t>
            </w:r>
            <w:r>
              <w:rPr>
                <w:rFonts w:ascii="宋体" w:hAnsi="宋体"/>
                <w:szCs w:val="21"/>
              </w:rPr>
              <w:t>10.</w:t>
            </w:r>
            <w:r>
              <w:rPr>
                <w:rFonts w:hint="eastAsia" w:ascii="宋体" w:hAnsi="宋体"/>
                <w:szCs w:val="21"/>
              </w:rPr>
              <w:t>7</w:t>
            </w:r>
            <w:r>
              <w:rPr>
                <w:rFonts w:ascii="宋体" w:hAnsi="宋体"/>
                <w:szCs w:val="21"/>
              </w:rPr>
              <w:t>-11.</w:t>
            </w:r>
            <w:r>
              <w:rPr>
                <w:rFonts w:hint="eastAsia" w:ascii="宋体" w:hAnsi="宋体"/>
                <w:szCs w:val="21"/>
              </w:rPr>
              <w:t>4</w:t>
            </w:r>
            <w:r>
              <w:rPr>
                <w:rFonts w:ascii="宋体" w:hAnsi="宋体"/>
                <w:szCs w:val="21"/>
              </w:rPr>
              <w:t>mm</w:t>
            </w:r>
            <w:r>
              <w:rPr>
                <w:rFonts w:hint="eastAsia" w:ascii="宋体" w:hAnsi="宋体"/>
                <w:szCs w:val="21"/>
              </w:rPr>
              <w:t>之间，白键表面高度差全键盘表面最大高度差应不大于0.9mm;琴键下降        负荷范围应在0.70-0.87N以内。</w:t>
            </w:r>
          </w:p>
          <w:p>
            <w:pPr>
              <w:tabs>
                <w:tab w:val="left" w:pos="180"/>
                <w:tab w:val="left" w:pos="1620"/>
              </w:tabs>
              <w:spacing w:line="500" w:lineRule="exact"/>
              <w:jc w:val="left"/>
              <w:rPr>
                <w:rFonts w:ascii="宋体" w:hAnsi="宋体"/>
                <w:szCs w:val="21"/>
              </w:rPr>
            </w:pPr>
            <w:r>
              <w:rPr>
                <w:rFonts w:hint="eastAsia" w:ascii="宋体" w:hAnsi="宋体"/>
                <w:szCs w:val="21"/>
              </w:rPr>
              <w:t>※※</w:t>
            </w:r>
            <w:r>
              <w:rPr>
                <w:rFonts w:ascii="宋体" w:hAnsi="宋体"/>
                <w:szCs w:val="21"/>
              </w:rPr>
              <w:t>6</w:t>
            </w:r>
            <w:r>
              <w:rPr>
                <w:rFonts w:hint="eastAsia" w:ascii="宋体" w:hAnsi="宋体"/>
                <w:szCs w:val="21"/>
              </w:rPr>
              <w:t>）音色：不少于</w:t>
            </w:r>
            <w:r>
              <w:rPr>
                <w:rFonts w:ascii="宋体" w:hAnsi="宋体"/>
                <w:szCs w:val="21"/>
              </w:rPr>
              <w:t>54</w:t>
            </w:r>
            <w:r>
              <w:rPr>
                <w:rFonts w:hint="eastAsia" w:ascii="宋体" w:hAnsi="宋体"/>
                <w:szCs w:val="21"/>
              </w:rPr>
              <w:t>9种，包括</w:t>
            </w:r>
            <w:r>
              <w:rPr>
                <w:rFonts w:ascii="宋体" w:hAnsi="宋体"/>
                <w:szCs w:val="21"/>
              </w:rPr>
              <w:t>456</w:t>
            </w:r>
            <w:r>
              <w:rPr>
                <w:rFonts w:hint="eastAsia" w:ascii="宋体" w:hAnsi="宋体"/>
                <w:szCs w:val="21"/>
              </w:rPr>
              <w:t>种旋律音色，不少于</w:t>
            </w:r>
            <w:r>
              <w:rPr>
                <w:rFonts w:ascii="宋体" w:hAnsi="宋体"/>
                <w:szCs w:val="21"/>
              </w:rPr>
              <w:t>80</w:t>
            </w:r>
            <w:r>
              <w:rPr>
                <w:rFonts w:hint="eastAsia" w:ascii="宋体" w:hAnsi="宋体"/>
                <w:szCs w:val="21"/>
              </w:rPr>
              <w:t>种中国民族音色，不少于</w:t>
            </w:r>
            <w:r>
              <w:rPr>
                <w:rFonts w:ascii="宋体" w:hAnsi="宋体"/>
                <w:szCs w:val="21"/>
              </w:rPr>
              <w:t>12</w:t>
            </w:r>
            <w:r>
              <w:rPr>
                <w:rFonts w:hint="eastAsia" w:ascii="宋体" w:hAnsi="宋体"/>
                <w:szCs w:val="21"/>
              </w:rPr>
              <w:t>套打击乐鼓组，不少于</w:t>
            </w:r>
            <w:r>
              <w:rPr>
                <w:rFonts w:ascii="宋体" w:hAnsi="宋体"/>
                <w:szCs w:val="21"/>
              </w:rPr>
              <w:t>8</w:t>
            </w:r>
            <w:r>
              <w:rPr>
                <w:rFonts w:hint="eastAsia" w:ascii="宋体" w:hAnsi="宋体"/>
                <w:szCs w:val="21"/>
              </w:rPr>
              <w:t>个音色直选按纽。</w:t>
            </w:r>
          </w:p>
          <w:p>
            <w:pPr>
              <w:tabs>
                <w:tab w:val="left" w:pos="180"/>
                <w:tab w:val="left" w:pos="1620"/>
              </w:tabs>
              <w:spacing w:line="500" w:lineRule="exact"/>
              <w:jc w:val="left"/>
              <w:rPr>
                <w:rFonts w:ascii="宋体" w:hAnsi="宋体"/>
                <w:szCs w:val="21"/>
              </w:rPr>
            </w:pPr>
            <w:r>
              <w:rPr>
                <w:rFonts w:hint="eastAsia" w:ascii="宋体" w:hAnsi="宋体"/>
                <w:szCs w:val="21"/>
              </w:rPr>
              <w:t>※※</w:t>
            </w:r>
            <w:r>
              <w:rPr>
                <w:rFonts w:ascii="宋体" w:hAnsi="宋体"/>
                <w:szCs w:val="21"/>
              </w:rPr>
              <w:t>7</w:t>
            </w:r>
            <w:r>
              <w:rPr>
                <w:rFonts w:hint="eastAsia" w:ascii="宋体" w:hAnsi="宋体"/>
                <w:szCs w:val="21"/>
              </w:rPr>
              <w:t>）节奏：</w:t>
            </w:r>
            <w:r>
              <w:rPr>
                <w:rFonts w:ascii="宋体" w:hAnsi="宋体"/>
                <w:szCs w:val="21"/>
              </w:rPr>
              <w:t>220</w:t>
            </w:r>
            <w:r>
              <w:rPr>
                <w:rFonts w:hint="eastAsia" w:ascii="宋体" w:hAnsi="宋体"/>
                <w:szCs w:val="21"/>
              </w:rPr>
              <w:t>种预置节奏，包括</w:t>
            </w:r>
            <w:r>
              <w:rPr>
                <w:rFonts w:ascii="宋体" w:hAnsi="宋体"/>
                <w:szCs w:val="21"/>
              </w:rPr>
              <w:t>40</w:t>
            </w:r>
            <w:r>
              <w:rPr>
                <w:rFonts w:hint="eastAsia" w:ascii="宋体" w:hAnsi="宋体"/>
                <w:szCs w:val="21"/>
              </w:rPr>
              <w:t>种中国民族节奏，另可扩展</w:t>
            </w:r>
            <w:r>
              <w:rPr>
                <w:rFonts w:ascii="宋体" w:hAnsi="宋体"/>
                <w:szCs w:val="21"/>
              </w:rPr>
              <w:t>10</w:t>
            </w:r>
            <w:r>
              <w:rPr>
                <w:rFonts w:hint="eastAsia" w:ascii="宋体" w:hAnsi="宋体"/>
                <w:szCs w:val="21"/>
              </w:rPr>
              <w:t>种用户节奏，不少于</w:t>
            </w:r>
            <w:r>
              <w:rPr>
                <w:rFonts w:ascii="宋体" w:hAnsi="宋体"/>
                <w:szCs w:val="21"/>
              </w:rPr>
              <w:t>6</w:t>
            </w:r>
            <w:r>
              <w:rPr>
                <w:rFonts w:hint="eastAsia" w:ascii="宋体" w:hAnsi="宋体"/>
                <w:szCs w:val="21"/>
              </w:rPr>
              <w:t>个节奏直选按纽</w:t>
            </w:r>
          </w:p>
          <w:p>
            <w:pPr>
              <w:tabs>
                <w:tab w:val="left" w:pos="180"/>
                <w:tab w:val="left" w:pos="1620"/>
              </w:tabs>
              <w:spacing w:line="500" w:lineRule="exact"/>
              <w:jc w:val="left"/>
              <w:rPr>
                <w:rFonts w:ascii="宋体" w:hAnsi="宋体"/>
                <w:szCs w:val="21"/>
              </w:rPr>
            </w:pPr>
            <w:r>
              <w:rPr>
                <w:rFonts w:ascii="宋体" w:hAnsi="宋体"/>
                <w:szCs w:val="21"/>
              </w:rPr>
              <w:t>8</w:t>
            </w:r>
            <w:r>
              <w:rPr>
                <w:rFonts w:hint="eastAsia" w:ascii="宋体" w:hAnsi="宋体"/>
                <w:szCs w:val="21"/>
              </w:rPr>
              <w:t>）伴奏控制：和弦模式、伴奏音量、单触键设置</w:t>
            </w:r>
          </w:p>
          <w:p>
            <w:pPr>
              <w:tabs>
                <w:tab w:val="left" w:pos="180"/>
                <w:tab w:val="left" w:pos="1620"/>
              </w:tabs>
              <w:spacing w:line="500" w:lineRule="exact"/>
              <w:jc w:val="left"/>
              <w:rPr>
                <w:rFonts w:ascii="宋体" w:hAnsi="宋体"/>
                <w:szCs w:val="21"/>
              </w:rPr>
            </w:pPr>
            <w:r>
              <w:rPr>
                <w:rFonts w:ascii="宋体" w:hAnsi="宋体"/>
                <w:szCs w:val="21"/>
              </w:rPr>
              <w:t>9</w:t>
            </w:r>
            <w:r>
              <w:rPr>
                <w:rFonts w:hint="eastAsia" w:ascii="宋体" w:hAnsi="宋体"/>
                <w:szCs w:val="21"/>
              </w:rPr>
              <w:t>）速度：</w:t>
            </w:r>
            <w:r>
              <w:rPr>
                <w:rFonts w:ascii="宋体" w:hAnsi="宋体"/>
                <w:szCs w:val="21"/>
              </w:rPr>
              <w:t>30-280</w:t>
            </w:r>
          </w:p>
          <w:p>
            <w:pPr>
              <w:tabs>
                <w:tab w:val="left" w:pos="180"/>
                <w:tab w:val="left" w:pos="1620"/>
              </w:tabs>
              <w:spacing w:line="500" w:lineRule="exact"/>
              <w:jc w:val="left"/>
              <w:rPr>
                <w:rFonts w:ascii="宋体" w:hAnsi="宋体"/>
                <w:szCs w:val="21"/>
              </w:rPr>
            </w:pPr>
            <w:r>
              <w:rPr>
                <w:rFonts w:hint="eastAsia" w:ascii="宋体" w:hAnsi="宋体"/>
                <w:szCs w:val="21"/>
              </w:rPr>
              <w:t>※※</w:t>
            </w:r>
            <w:r>
              <w:rPr>
                <w:rFonts w:ascii="宋体" w:hAnsi="宋体"/>
                <w:szCs w:val="21"/>
              </w:rPr>
              <w:t>10</w:t>
            </w:r>
            <w:r>
              <w:rPr>
                <w:rFonts w:hint="eastAsia" w:ascii="宋体" w:hAnsi="宋体"/>
                <w:szCs w:val="21"/>
              </w:rPr>
              <w:t>）乐曲：不少于</w:t>
            </w:r>
            <w:r>
              <w:rPr>
                <w:rFonts w:ascii="宋体" w:hAnsi="宋体"/>
                <w:szCs w:val="21"/>
              </w:rPr>
              <w:t>180</w:t>
            </w:r>
            <w:r>
              <w:rPr>
                <w:rFonts w:hint="eastAsia" w:ascii="宋体" w:hAnsi="宋体"/>
                <w:szCs w:val="21"/>
              </w:rPr>
              <w:t>首乐曲，其中</w:t>
            </w:r>
            <w:r>
              <w:rPr>
                <w:rFonts w:ascii="宋体" w:hAnsi="宋体"/>
                <w:szCs w:val="21"/>
              </w:rPr>
              <w:t>60</w:t>
            </w:r>
            <w:r>
              <w:rPr>
                <w:rFonts w:hint="eastAsia" w:ascii="宋体" w:hAnsi="宋体"/>
                <w:szCs w:val="21"/>
              </w:rPr>
              <w:t>首歌曲、不少于</w:t>
            </w:r>
            <w:r>
              <w:rPr>
                <w:rFonts w:ascii="宋体" w:hAnsi="宋体"/>
                <w:szCs w:val="21"/>
              </w:rPr>
              <w:t>110</w:t>
            </w:r>
            <w:r>
              <w:rPr>
                <w:rFonts w:hint="eastAsia" w:ascii="宋体" w:hAnsi="宋体"/>
                <w:szCs w:val="21"/>
              </w:rPr>
              <w:t>首歌本，</w:t>
            </w:r>
            <w:r>
              <w:rPr>
                <w:rFonts w:ascii="宋体" w:hAnsi="宋体"/>
                <w:szCs w:val="21"/>
              </w:rPr>
              <w:t>10</w:t>
            </w:r>
            <w:r>
              <w:rPr>
                <w:rFonts w:hint="eastAsia" w:ascii="宋体" w:hAnsi="宋体"/>
                <w:szCs w:val="21"/>
              </w:rPr>
              <w:t>首用户歌曲</w:t>
            </w:r>
          </w:p>
          <w:p>
            <w:pPr>
              <w:tabs>
                <w:tab w:val="left" w:pos="180"/>
                <w:tab w:val="left" w:pos="1620"/>
              </w:tabs>
              <w:spacing w:line="500" w:lineRule="exact"/>
              <w:jc w:val="left"/>
              <w:rPr>
                <w:rFonts w:ascii="宋体" w:hAnsi="宋体"/>
                <w:szCs w:val="21"/>
              </w:rPr>
            </w:pPr>
            <w:r>
              <w:rPr>
                <w:rFonts w:ascii="宋体" w:hAnsi="宋体"/>
                <w:szCs w:val="21"/>
              </w:rPr>
              <w:t>11</w:t>
            </w:r>
            <w:r>
              <w:rPr>
                <w:rFonts w:hint="eastAsia" w:ascii="宋体" w:hAnsi="宋体"/>
                <w:szCs w:val="21"/>
              </w:rPr>
              <w:t>）双人演奏：双钢琴、键分离</w:t>
            </w:r>
          </w:p>
          <w:p>
            <w:pPr>
              <w:tabs>
                <w:tab w:val="left" w:pos="180"/>
                <w:tab w:val="left" w:pos="1620"/>
              </w:tabs>
              <w:spacing w:line="500" w:lineRule="exact"/>
              <w:jc w:val="left"/>
              <w:rPr>
                <w:rFonts w:ascii="宋体" w:hAnsi="宋体"/>
                <w:szCs w:val="21"/>
              </w:rPr>
            </w:pPr>
            <w:r>
              <w:rPr>
                <w:rFonts w:ascii="宋体" w:hAnsi="宋体"/>
                <w:szCs w:val="21"/>
              </w:rPr>
              <w:t>12</w:t>
            </w:r>
            <w:r>
              <w:rPr>
                <w:rFonts w:hint="eastAsia" w:ascii="宋体" w:hAnsi="宋体"/>
                <w:szCs w:val="21"/>
              </w:rPr>
              <w:t>）演奏增强：演奏帮助、和声</w:t>
            </w:r>
            <w:r>
              <w:rPr>
                <w:rFonts w:ascii="宋体" w:hAnsi="宋体"/>
                <w:szCs w:val="21"/>
              </w:rPr>
              <w:t>:16</w:t>
            </w:r>
            <w:r>
              <w:rPr>
                <w:rFonts w:hint="eastAsia" w:ascii="宋体" w:hAnsi="宋体"/>
                <w:szCs w:val="21"/>
              </w:rPr>
              <w:t>种类型、调音台</w:t>
            </w:r>
          </w:p>
          <w:p>
            <w:pPr>
              <w:tabs>
                <w:tab w:val="left" w:pos="180"/>
                <w:tab w:val="left" w:pos="1620"/>
              </w:tabs>
              <w:spacing w:line="500" w:lineRule="exact"/>
              <w:jc w:val="left"/>
              <w:rPr>
                <w:rFonts w:ascii="宋体" w:hAnsi="宋体"/>
                <w:szCs w:val="21"/>
              </w:rPr>
            </w:pPr>
            <w:r>
              <w:rPr>
                <w:rFonts w:ascii="宋体" w:hAnsi="宋体"/>
                <w:szCs w:val="21"/>
              </w:rPr>
              <w:t>13</w:t>
            </w:r>
            <w:r>
              <w:rPr>
                <w:rFonts w:hint="eastAsia" w:ascii="宋体" w:hAnsi="宋体"/>
                <w:szCs w:val="21"/>
              </w:rPr>
              <w:t>）音高调节：移调、音调、音阶调律</w:t>
            </w:r>
          </w:p>
          <w:p>
            <w:pPr>
              <w:tabs>
                <w:tab w:val="left" w:pos="180"/>
                <w:tab w:val="left" w:pos="1620"/>
              </w:tabs>
              <w:spacing w:line="500" w:lineRule="exact"/>
              <w:jc w:val="left"/>
              <w:rPr>
                <w:rFonts w:ascii="宋体" w:hAnsi="宋体"/>
                <w:szCs w:val="21"/>
              </w:rPr>
            </w:pPr>
            <w:r>
              <w:rPr>
                <w:rFonts w:ascii="宋体" w:hAnsi="宋体"/>
                <w:szCs w:val="21"/>
              </w:rPr>
              <w:t>14</w:t>
            </w:r>
            <w:r>
              <w:rPr>
                <w:rFonts w:hint="eastAsia" w:ascii="宋体" w:hAnsi="宋体"/>
                <w:szCs w:val="21"/>
              </w:rPr>
              <w:t>）音效：全局效果</w:t>
            </w:r>
            <w:r>
              <w:rPr>
                <w:rFonts w:ascii="宋体" w:hAnsi="宋体"/>
                <w:szCs w:val="21"/>
              </w:rPr>
              <w:t>:DSP</w:t>
            </w:r>
            <w:r>
              <w:rPr>
                <w:rFonts w:hint="eastAsia" w:ascii="宋体" w:hAnsi="宋体"/>
                <w:szCs w:val="21"/>
              </w:rPr>
              <w:t>开关；混响</w:t>
            </w:r>
            <w:r>
              <w:rPr>
                <w:rFonts w:ascii="宋体" w:hAnsi="宋体"/>
                <w:szCs w:val="21"/>
              </w:rPr>
              <w:t>:128</w:t>
            </w:r>
            <w:r>
              <w:rPr>
                <w:rFonts w:hint="eastAsia" w:ascii="宋体" w:hAnsi="宋体"/>
                <w:szCs w:val="21"/>
              </w:rPr>
              <w:t>深度；合唱</w:t>
            </w:r>
            <w:r>
              <w:rPr>
                <w:rFonts w:ascii="宋体" w:hAnsi="宋体"/>
                <w:szCs w:val="21"/>
              </w:rPr>
              <w:t>:128</w:t>
            </w:r>
            <w:r>
              <w:rPr>
                <w:rFonts w:hint="eastAsia" w:ascii="宋体" w:hAnsi="宋体"/>
                <w:szCs w:val="21"/>
              </w:rPr>
              <w:t>深度</w:t>
            </w:r>
          </w:p>
          <w:p>
            <w:pPr>
              <w:tabs>
                <w:tab w:val="left" w:pos="180"/>
                <w:tab w:val="left" w:pos="1620"/>
              </w:tabs>
              <w:spacing w:line="500" w:lineRule="exact"/>
              <w:jc w:val="left"/>
              <w:rPr>
                <w:rFonts w:ascii="宋体" w:hAnsi="宋体"/>
                <w:szCs w:val="21"/>
              </w:rPr>
            </w:pPr>
            <w:r>
              <w:rPr>
                <w:rFonts w:ascii="宋体" w:hAnsi="宋体"/>
                <w:szCs w:val="21"/>
              </w:rPr>
              <w:t>15</w:t>
            </w:r>
            <w:r>
              <w:rPr>
                <w:rFonts w:hint="eastAsia" w:ascii="宋体" w:hAnsi="宋体"/>
                <w:szCs w:val="21"/>
              </w:rPr>
              <w:t>）音序器：</w:t>
            </w:r>
            <w:r>
              <w:rPr>
                <w:rFonts w:ascii="宋体" w:hAnsi="宋体"/>
                <w:szCs w:val="21"/>
              </w:rPr>
              <w:t>6</w:t>
            </w:r>
            <w:r>
              <w:rPr>
                <w:rFonts w:hint="eastAsia" w:ascii="宋体" w:hAnsi="宋体"/>
                <w:szCs w:val="21"/>
              </w:rPr>
              <w:t>轨录音</w:t>
            </w:r>
            <w:r>
              <w:rPr>
                <w:rFonts w:ascii="宋体" w:hAnsi="宋体"/>
                <w:szCs w:val="21"/>
              </w:rPr>
              <w:t>(5</w:t>
            </w:r>
            <w:r>
              <w:rPr>
                <w:rFonts w:hint="eastAsia" w:ascii="宋体" w:hAnsi="宋体"/>
                <w:szCs w:val="21"/>
              </w:rPr>
              <w:t>旋律轨＋</w:t>
            </w:r>
            <w:r>
              <w:rPr>
                <w:rFonts w:ascii="宋体" w:hAnsi="宋体"/>
                <w:szCs w:val="21"/>
              </w:rPr>
              <w:t>1</w:t>
            </w:r>
            <w:r>
              <w:rPr>
                <w:rFonts w:hint="eastAsia" w:ascii="宋体" w:hAnsi="宋体"/>
                <w:szCs w:val="21"/>
              </w:rPr>
              <w:t>伴奏轨</w:t>
            </w:r>
            <w:r>
              <w:rPr>
                <w:rFonts w:ascii="宋体" w:hAnsi="宋体"/>
                <w:szCs w:val="21"/>
              </w:rPr>
              <w:t>)</w:t>
            </w:r>
            <w:r>
              <w:rPr>
                <w:rFonts w:hint="eastAsia" w:ascii="宋体" w:hAnsi="宋体"/>
                <w:szCs w:val="21"/>
              </w:rPr>
              <w:t>，</w:t>
            </w:r>
            <w:r>
              <w:rPr>
                <w:rFonts w:ascii="宋体" w:hAnsi="宋体"/>
                <w:szCs w:val="21"/>
              </w:rPr>
              <w:t>10</w:t>
            </w:r>
            <w:r>
              <w:rPr>
                <w:rFonts w:hint="eastAsia" w:ascii="宋体" w:hAnsi="宋体"/>
                <w:szCs w:val="21"/>
              </w:rPr>
              <w:t>首用户歌曲</w:t>
            </w:r>
          </w:p>
          <w:p>
            <w:pPr>
              <w:tabs>
                <w:tab w:val="left" w:pos="180"/>
                <w:tab w:val="left" w:pos="1620"/>
              </w:tabs>
              <w:spacing w:line="500" w:lineRule="exact"/>
              <w:jc w:val="left"/>
              <w:rPr>
                <w:rFonts w:ascii="宋体" w:hAnsi="宋体"/>
                <w:szCs w:val="21"/>
              </w:rPr>
            </w:pPr>
            <w:r>
              <w:rPr>
                <w:rFonts w:ascii="宋体" w:hAnsi="宋体"/>
                <w:szCs w:val="21"/>
              </w:rPr>
              <w:t>16</w:t>
            </w:r>
            <w:r>
              <w:rPr>
                <w:rFonts w:hint="eastAsia" w:ascii="宋体" w:hAnsi="宋体"/>
                <w:szCs w:val="21"/>
              </w:rPr>
              <w:t>）注册记忆：</w:t>
            </w:r>
            <w:r>
              <w:rPr>
                <w:rFonts w:ascii="宋体" w:hAnsi="宋体"/>
                <w:szCs w:val="21"/>
              </w:rPr>
              <w:t>32</w:t>
            </w:r>
            <w:r>
              <w:rPr>
                <w:rFonts w:hint="eastAsia" w:ascii="宋体" w:hAnsi="宋体"/>
                <w:szCs w:val="21"/>
              </w:rPr>
              <w:t>个注册记忆</w:t>
            </w:r>
            <w:r>
              <w:rPr>
                <w:rFonts w:ascii="宋体" w:hAnsi="宋体"/>
                <w:szCs w:val="21"/>
              </w:rPr>
              <w:t>(8</w:t>
            </w:r>
            <w:r>
              <w:rPr>
                <w:rFonts w:hint="eastAsia" w:ascii="宋体" w:hAnsi="宋体"/>
                <w:szCs w:val="21"/>
              </w:rPr>
              <w:t>记忆库</w:t>
            </w:r>
            <w:r>
              <w:rPr>
                <w:rFonts w:ascii="宋体" w:hAnsi="宋体"/>
                <w:szCs w:val="21"/>
              </w:rPr>
              <w:t>x4</w:t>
            </w:r>
            <w:r>
              <w:rPr>
                <w:rFonts w:hint="eastAsia" w:ascii="宋体" w:hAnsi="宋体"/>
                <w:szCs w:val="21"/>
              </w:rPr>
              <w:t>存储</w:t>
            </w:r>
            <w:r>
              <w:rPr>
                <w:rFonts w:ascii="宋体" w:hAnsi="宋体"/>
                <w:szCs w:val="21"/>
              </w:rPr>
              <w:t>)</w:t>
            </w:r>
          </w:p>
          <w:p>
            <w:pPr>
              <w:tabs>
                <w:tab w:val="left" w:pos="180"/>
                <w:tab w:val="left" w:pos="1620"/>
              </w:tabs>
              <w:spacing w:line="500" w:lineRule="exact"/>
              <w:jc w:val="left"/>
              <w:rPr>
                <w:rFonts w:ascii="宋体" w:hAnsi="宋体"/>
                <w:szCs w:val="21"/>
              </w:rPr>
            </w:pPr>
            <w:r>
              <w:rPr>
                <w:rFonts w:hint="eastAsia" w:ascii="宋体" w:hAnsi="宋体"/>
                <w:szCs w:val="21"/>
              </w:rPr>
              <w:t>★</w:t>
            </w:r>
            <w:r>
              <w:rPr>
                <w:rFonts w:ascii="宋体" w:hAnsi="宋体"/>
                <w:szCs w:val="21"/>
              </w:rPr>
              <w:t>17</w:t>
            </w:r>
            <w:r>
              <w:rPr>
                <w:rFonts w:hint="eastAsia" w:ascii="宋体" w:hAnsi="宋体"/>
                <w:szCs w:val="21"/>
              </w:rPr>
              <w:t>）控制按钮：具有节拍器、双音色、下音色、力度、数码效果</w:t>
            </w:r>
            <w:r>
              <w:rPr>
                <w:rFonts w:ascii="宋体" w:hAnsi="宋体"/>
                <w:szCs w:val="21"/>
              </w:rPr>
              <w:t>)</w:t>
            </w:r>
            <w:r>
              <w:rPr>
                <w:rFonts w:hint="eastAsia" w:ascii="宋体" w:hAnsi="宋体"/>
                <w:szCs w:val="21"/>
              </w:rPr>
              <w:t>、古典音律、双钢琴、八度、记忆库、锁定、和声、伴奏音量、旋律关闭等功能按钮</w:t>
            </w:r>
            <w:r>
              <w:rPr>
                <w:rFonts w:ascii="宋体" w:hAnsi="宋体"/>
                <w:szCs w:val="21"/>
              </w:rPr>
              <w:t xml:space="preserve"> </w:t>
            </w:r>
          </w:p>
          <w:p>
            <w:pPr>
              <w:tabs>
                <w:tab w:val="left" w:pos="180"/>
                <w:tab w:val="left" w:pos="1620"/>
              </w:tabs>
              <w:spacing w:line="500" w:lineRule="exact"/>
              <w:jc w:val="left"/>
              <w:rPr>
                <w:rFonts w:ascii="宋体" w:hAnsi="宋体"/>
                <w:szCs w:val="21"/>
              </w:rPr>
            </w:pPr>
            <w:r>
              <w:rPr>
                <w:rFonts w:ascii="宋体" w:hAnsi="宋体"/>
                <w:szCs w:val="21"/>
              </w:rPr>
              <w:t>18</w:t>
            </w:r>
            <w:r>
              <w:rPr>
                <w:rFonts w:hint="eastAsia" w:ascii="宋体" w:hAnsi="宋体"/>
                <w:szCs w:val="21"/>
              </w:rPr>
              <w:t>）接口：电源接口、耳机接口、音频输入接口、音频输出接口</w:t>
            </w:r>
          </w:p>
          <w:p>
            <w:pPr>
              <w:tabs>
                <w:tab w:val="left" w:pos="180"/>
                <w:tab w:val="left" w:pos="1620"/>
              </w:tabs>
              <w:spacing w:line="500" w:lineRule="exact"/>
              <w:jc w:val="left"/>
              <w:rPr>
                <w:rFonts w:ascii="宋体" w:hAnsi="宋体"/>
                <w:szCs w:val="21"/>
              </w:rPr>
            </w:pPr>
            <w:r>
              <w:rPr>
                <w:rFonts w:ascii="宋体" w:hAnsi="宋体"/>
                <w:szCs w:val="21"/>
              </w:rPr>
              <w:t>19</w:t>
            </w:r>
            <w:r>
              <w:rPr>
                <w:rFonts w:hint="eastAsia" w:ascii="宋体" w:hAnsi="宋体"/>
                <w:szCs w:val="21"/>
              </w:rPr>
              <w:t>）节能模式：具有自动关机功能</w:t>
            </w:r>
          </w:p>
          <w:p>
            <w:pPr>
              <w:tabs>
                <w:tab w:val="left" w:pos="180"/>
                <w:tab w:val="left" w:pos="1620"/>
              </w:tabs>
              <w:spacing w:line="500" w:lineRule="exact"/>
              <w:jc w:val="left"/>
              <w:rPr>
                <w:rFonts w:ascii="宋体" w:hAnsi="宋体"/>
                <w:szCs w:val="21"/>
              </w:rPr>
            </w:pPr>
            <w:r>
              <w:rPr>
                <w:rFonts w:ascii="宋体" w:hAnsi="宋体"/>
                <w:szCs w:val="21"/>
              </w:rPr>
              <w:t>20</w:t>
            </w:r>
            <w:r>
              <w:rPr>
                <w:rFonts w:hint="eastAsia" w:ascii="宋体" w:hAnsi="宋体"/>
                <w:szCs w:val="21"/>
              </w:rPr>
              <w:t>）扬声器</w:t>
            </w:r>
            <w:r>
              <w:rPr>
                <w:rFonts w:ascii="宋体" w:hAnsi="宋体"/>
                <w:szCs w:val="21"/>
              </w:rPr>
              <w:t>:</w:t>
            </w:r>
            <w:r>
              <w:rPr>
                <w:rFonts w:hint="eastAsia" w:ascii="宋体" w:hAnsi="宋体"/>
                <w:szCs w:val="21"/>
              </w:rPr>
              <w:t>具有2个扬声器，总功率不低于30W</w:t>
            </w:r>
          </w:p>
          <w:p>
            <w:pPr>
              <w:tabs>
                <w:tab w:val="left" w:pos="180"/>
                <w:tab w:val="left" w:pos="1620"/>
              </w:tabs>
              <w:spacing w:line="500" w:lineRule="exact"/>
              <w:jc w:val="left"/>
              <w:rPr>
                <w:rFonts w:ascii="宋体" w:hAnsi="宋体"/>
                <w:szCs w:val="21"/>
              </w:rPr>
            </w:pPr>
            <w:r>
              <w:rPr>
                <w:rFonts w:ascii="宋体" w:hAnsi="宋体"/>
                <w:szCs w:val="21"/>
              </w:rPr>
              <w:t>21</w:t>
            </w:r>
            <w:r>
              <w:rPr>
                <w:rFonts w:hint="eastAsia" w:ascii="宋体" w:hAnsi="宋体"/>
                <w:szCs w:val="21"/>
              </w:rPr>
              <w:t>）配件：琴体，琴架，原装三踏板，琴凳，用户说明书、售后保修证书</w:t>
            </w:r>
          </w:p>
          <w:p>
            <w:pPr>
              <w:tabs>
                <w:tab w:val="left" w:pos="180"/>
                <w:tab w:val="left" w:pos="1620"/>
              </w:tabs>
              <w:spacing w:line="500" w:lineRule="exact"/>
              <w:jc w:val="left"/>
              <w:rPr>
                <w:rFonts w:hint="eastAsia" w:ascii="宋体" w:hAnsi="宋体"/>
                <w:szCs w:val="21"/>
              </w:rPr>
            </w:pPr>
            <w:r>
              <w:rPr>
                <w:rFonts w:hint="eastAsia" w:ascii="宋体" w:hAnsi="宋体"/>
                <w:szCs w:val="21"/>
              </w:rPr>
              <w:t>★22）提供制造商针对该项目售后服务承诺书原件，供货证明原件，以及制造商ISO9001,ISO14001,ISO28001等认证证书复印件；评标依据制造商提供的带有参数说明的产品彩页以及由国家轻工业乐器质量监督检测中心出具的CMA检测报告，所有提供证明文件必须加盖公章。</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01" w:hRule="atLeast"/>
          <w:jc w:val="center"/>
        </w:trPr>
        <w:tc>
          <w:tcPr>
            <w:tcW w:w="1151"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商务条款</w:t>
            </w:r>
          </w:p>
        </w:tc>
        <w:tc>
          <w:tcPr>
            <w:tcW w:w="8499" w:type="dxa"/>
            <w:gridSpan w:val="3"/>
            <w:tcBorders>
              <w:top w:val="single" w:color="auto" w:sz="4" w:space="0"/>
              <w:left w:val="single" w:color="auto" w:sz="4" w:space="0"/>
              <w:bottom w:val="single" w:color="auto" w:sz="4" w:space="0"/>
              <w:right w:val="single" w:color="auto" w:sz="4" w:space="0"/>
            </w:tcBorders>
            <w:vAlign w:val="top"/>
          </w:tcPr>
          <w:p>
            <w:pPr>
              <w:rPr>
                <w:rFonts w:hint="eastAsia" w:ascii="宋体" w:hAnsi="宋体"/>
                <w:szCs w:val="21"/>
              </w:rPr>
            </w:pPr>
            <w:r>
              <w:rPr>
                <w:rFonts w:hint="eastAsia" w:ascii="宋体" w:hAnsi="宋体"/>
                <w:szCs w:val="21"/>
              </w:rPr>
              <w:t xml:space="preserve">一、交付使用期：自签订合同之日起 </w:t>
            </w:r>
            <w:r>
              <w:rPr>
                <w:rFonts w:ascii="宋体" w:hAnsi="宋体"/>
                <w:szCs w:val="21"/>
              </w:rPr>
              <w:t>5</w:t>
            </w:r>
            <w:r>
              <w:rPr>
                <w:rFonts w:hint="eastAsia" w:ascii="宋体" w:hAnsi="宋体"/>
                <w:szCs w:val="21"/>
              </w:rPr>
              <w:t>天（日历天）内。</w:t>
            </w:r>
          </w:p>
          <w:p>
            <w:pPr>
              <w:rPr>
                <w:rFonts w:ascii="宋体" w:hAnsi="宋体"/>
                <w:szCs w:val="21"/>
              </w:rPr>
            </w:pPr>
            <w:r>
              <w:rPr>
                <w:rFonts w:hint="eastAsia" w:ascii="宋体" w:hAnsi="宋体"/>
                <w:szCs w:val="21"/>
              </w:rPr>
              <w:t>二、交付地点：甲方指定地点。</w:t>
            </w:r>
          </w:p>
          <w:p>
            <w:pPr>
              <w:rPr>
                <w:rFonts w:ascii="宋体" w:hAnsi="宋体"/>
                <w:szCs w:val="21"/>
              </w:rPr>
            </w:pPr>
            <w:r>
              <w:rPr>
                <w:rFonts w:ascii="宋体" w:hAnsi="宋体"/>
                <w:szCs w:val="21"/>
              </w:rPr>
              <w:t>三</w:t>
            </w:r>
            <w:r>
              <w:rPr>
                <w:rFonts w:hint="eastAsia" w:ascii="宋体" w:hAnsi="宋体"/>
                <w:szCs w:val="21"/>
              </w:rPr>
              <w:t>、</w:t>
            </w:r>
            <w:r>
              <w:rPr>
                <w:rFonts w:ascii="宋体" w:hAnsi="宋体"/>
                <w:szCs w:val="21"/>
              </w:rPr>
              <w:t>带</w:t>
            </w:r>
            <w:r>
              <w:rPr>
                <w:rFonts w:hint="eastAsia" w:ascii="宋体" w:hAnsi="宋体"/>
                <w:szCs w:val="21"/>
              </w:rPr>
              <w:t>★号的必须满足，否则竞标无效。</w:t>
            </w:r>
          </w:p>
          <w:p>
            <w:pPr>
              <w:rPr>
                <w:rFonts w:hint="eastAsia" w:ascii="宋体" w:hAnsi="宋体"/>
                <w:szCs w:val="21"/>
              </w:rPr>
            </w:pPr>
            <w:r>
              <w:rPr>
                <w:rFonts w:hint="eastAsia" w:ascii="宋体" w:hAnsi="宋体"/>
                <w:szCs w:val="21"/>
              </w:rPr>
              <w:t>四、成交单位在成交签订合同时，需提供电钢琴产品CMA检测报告原件给业主方核查。</w:t>
            </w:r>
          </w:p>
          <w:p>
            <w:pPr>
              <w:rPr>
                <w:rFonts w:hint="eastAsia" w:ascii="宋体" w:hAnsi="宋体"/>
                <w:szCs w:val="21"/>
              </w:rPr>
            </w:pPr>
            <w:r>
              <w:rPr>
                <w:rFonts w:hint="eastAsia" w:ascii="宋体" w:hAnsi="宋体"/>
                <w:szCs w:val="21"/>
              </w:rPr>
              <w:t>五、售后服务要求：</w:t>
            </w:r>
          </w:p>
          <w:p>
            <w:pPr>
              <w:rPr>
                <w:rFonts w:hint="eastAsia" w:ascii="宋体" w:hAnsi="宋体"/>
                <w:szCs w:val="21"/>
              </w:rPr>
            </w:pPr>
            <w:r>
              <w:rPr>
                <w:rFonts w:hint="eastAsia" w:ascii="宋体" w:hAnsi="宋体"/>
                <w:szCs w:val="21"/>
              </w:rPr>
              <w:t>1、质量保证期：不少于两年。</w:t>
            </w:r>
          </w:p>
          <w:p>
            <w:pPr>
              <w:rPr>
                <w:rFonts w:hint="eastAsia" w:ascii="宋体" w:hAnsi="宋体"/>
                <w:szCs w:val="21"/>
              </w:rPr>
            </w:pPr>
            <w:r>
              <w:rPr>
                <w:rFonts w:hint="eastAsia" w:ascii="宋体" w:hAnsi="宋体"/>
                <w:szCs w:val="21"/>
              </w:rPr>
              <w:t>2、故障处理和保障：处理问题响应时间</w:t>
            </w:r>
            <w:r>
              <w:rPr>
                <w:rFonts w:hint="eastAsia" w:ascii="宋体" w:hAnsi="宋体"/>
                <w:szCs w:val="21"/>
                <w:lang w:eastAsia="zh-CN"/>
              </w:rPr>
              <w:t>，</w:t>
            </w:r>
            <w:r>
              <w:rPr>
                <w:rFonts w:hint="eastAsia" w:ascii="宋体" w:hAnsi="宋体"/>
                <w:szCs w:val="21"/>
              </w:rPr>
              <w:t>提供巡检保养维护服务，提供24小时热线电话服务，并指定专人负责上门受理日常维护及平时协助采购单位维护检测等工作；竞标人设有备件库存，硬件若属严重或损坏性，厂家在48小时之内不能解决的，必须提供同档次的替代配件，以保证设备正常工作。</w:t>
            </w:r>
          </w:p>
          <w:p>
            <w:pPr>
              <w:spacing w:line="340" w:lineRule="exact"/>
              <w:ind w:firstLine="235" w:firstLineChars="112"/>
              <w:rPr>
                <w:rFonts w:ascii="宋体" w:hAnsi="宋体"/>
                <w:szCs w:val="21"/>
              </w:rPr>
            </w:pPr>
            <w:bookmarkStart w:id="0" w:name="_GoBack"/>
            <w:bookmarkEnd w:id="0"/>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Arial">
    <w:panose1 w:val="020B0604020202020204"/>
    <w:charset w:val="00"/>
    <w:family w:val="swiss"/>
    <w:pitch w:val="default"/>
    <w:sig w:usb0="E0002EFF" w:usb1="C0007843"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华文新魏">
    <w:altName w:val="宋体"/>
    <w:panose1 w:val="02010800040101010101"/>
    <w:charset w:val="86"/>
    <w:family w:val="auto"/>
    <w:pitch w:val="default"/>
    <w:sig w:usb0="00000000" w:usb1="00000000" w:usb2="00000010" w:usb3="00000000" w:csb0="00040000" w:csb1="00000000"/>
  </w:font>
  <w:font w:name="方正美黑简体">
    <w:altName w:val="宋体"/>
    <w:panose1 w:val="02010601030101010101"/>
    <w:charset w:val="86"/>
    <w:family w:val="auto"/>
    <w:pitch w:val="default"/>
    <w:sig w:usb0="00000000" w:usb1="00000000" w:usb2="00000010" w:usb3="00000000" w:csb0="00040000" w:csb1="00000000"/>
  </w:font>
  <w:font w:name="汉仪魏碑简">
    <w:altName w:val="宋体"/>
    <w:panose1 w:val="02010609000101010101"/>
    <w:charset w:val="86"/>
    <w:family w:val="modern"/>
    <w:pitch w:val="default"/>
    <w:sig w:usb0="00000000" w:usb1="00000000" w:usb2="00000012" w:usb3="00000000" w:csb0="00040000"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9064B3"/>
    <w:multiLevelType w:val="multilevel"/>
    <w:tmpl w:val="499064B3"/>
    <w:lvl w:ilvl="0" w:tentative="0">
      <w:start w:val="1"/>
      <w:numFmt w:val="chineseCountingThousand"/>
      <w:pStyle w:val="2"/>
      <w:suff w:val="nothing"/>
      <w:lvlText w:val="第%1章"/>
      <w:lvlJc w:val="left"/>
      <w:pPr>
        <w:ind w:left="0" w:firstLine="0"/>
      </w:pPr>
      <w:rPr>
        <w:sz w:val="32"/>
        <w:szCs w:val="32"/>
      </w:rPr>
    </w:lvl>
    <w:lvl w:ilvl="1" w:tentative="0">
      <w:start w:val="1"/>
      <w:numFmt w:val="none"/>
      <w:suff w:val="nothing"/>
      <w:lvlText w:val=""/>
      <w:lvlJc w:val="left"/>
      <w:pPr>
        <w:ind w:left="0" w:firstLine="0"/>
      </w:pPr>
    </w:lvl>
    <w:lvl w:ilvl="2" w:tentative="0">
      <w:start w:val="1"/>
      <w:numFmt w:val="none"/>
      <w:suff w:val="nothing"/>
      <w:lvlText w:val=""/>
      <w:lvlJc w:val="left"/>
      <w:pPr>
        <w:ind w:left="0" w:firstLine="0"/>
      </w:pPr>
    </w:lvl>
    <w:lvl w:ilvl="3" w:tentative="0">
      <w:start w:val="1"/>
      <w:numFmt w:val="none"/>
      <w:suff w:val="nothing"/>
      <w:lvlText w:val=""/>
      <w:lvlJc w:val="left"/>
      <w:pPr>
        <w:ind w:left="0" w:firstLine="0"/>
      </w:pPr>
    </w:lvl>
    <w:lvl w:ilvl="4" w:tentative="0">
      <w:start w:val="1"/>
      <w:numFmt w:val="none"/>
      <w:suff w:val="nothing"/>
      <w:lvlText w:val=""/>
      <w:lvlJc w:val="left"/>
      <w:pPr>
        <w:ind w:left="0" w:firstLine="0"/>
      </w:pPr>
    </w:lvl>
    <w:lvl w:ilvl="5" w:tentative="0">
      <w:start w:val="1"/>
      <w:numFmt w:val="none"/>
      <w:suff w:val="nothing"/>
      <w:lvlText w:val=""/>
      <w:lvlJc w:val="left"/>
      <w:pPr>
        <w:ind w:left="0" w:firstLine="0"/>
      </w:pPr>
    </w:lvl>
    <w:lvl w:ilvl="6" w:tentative="0">
      <w:start w:val="1"/>
      <w:numFmt w:val="none"/>
      <w:suff w:val="nothing"/>
      <w:lvlText w:val=""/>
      <w:lvlJc w:val="left"/>
      <w:pPr>
        <w:ind w:left="0" w:firstLine="0"/>
      </w:pPr>
    </w:lvl>
    <w:lvl w:ilvl="7" w:tentative="0">
      <w:start w:val="1"/>
      <w:numFmt w:val="none"/>
      <w:suff w:val="nothing"/>
      <w:lvlText w:val=""/>
      <w:lvlJc w:val="left"/>
      <w:pPr>
        <w:ind w:left="0" w:firstLine="0"/>
      </w:pPr>
    </w:lvl>
    <w:lvl w:ilvl="8" w:tentative="0">
      <w:start w:val="1"/>
      <w:numFmt w:val="none"/>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CF6212D"/>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kern w:val="2"/>
      <w:sz w:val="21"/>
      <w:szCs w:val="24"/>
      <w:lang w:val="en-US" w:eastAsia="zh-CN" w:bidi="ar-SA"/>
    </w:rPr>
  </w:style>
  <w:style w:type="paragraph" w:styleId="2">
    <w:name w:val="heading 1"/>
    <w:basedOn w:val="1"/>
    <w:next w:val="1"/>
    <w:qFormat/>
    <w:uiPriority w:val="0"/>
    <w:pPr>
      <w:keepNext/>
      <w:numPr>
        <w:ilvl w:val="0"/>
        <w:numId w:val="1"/>
      </w:numPr>
      <w:spacing w:line="340" w:lineRule="exact"/>
      <w:jc w:val="center"/>
      <w:outlineLvl w:val="0"/>
    </w:pPr>
    <w:rPr>
      <w:b/>
      <w:bCs/>
      <w:sz w:val="32"/>
    </w:rPr>
  </w:style>
  <w:style w:type="character" w:default="1" w:styleId="3">
    <w:name w:val="Default Paragraph Font"/>
    <w:semiHidden/>
    <w:uiPriority w:val="0"/>
  </w:style>
  <w:style w:type="table" w:default="1" w:styleId="4">
    <w:name w:val="Normal Table"/>
    <w:semiHidden/>
    <w:uiPriority w:val="0"/>
    <w:tblPr>
      <w:tblLayout w:type="fixed"/>
      <w:tblCellMar>
        <w:top w:w="0" w:type="dxa"/>
        <w:left w:w="108" w:type="dxa"/>
        <w:bottom w:w="0" w:type="dxa"/>
        <w:right w:w="108" w:type="dxa"/>
      </w:tblCellMar>
    </w:tblPr>
  </w:style>
  <w:style w:type="paragraph" w:customStyle="1" w:styleId="5">
    <w:name w:val="样式 样式 标题 1 + 两端对齐 段前: 7.8 磅 段后: 7.8 磅 行距: 固定值 19 磅 + 段前: 4 行 段后..."/>
    <w:basedOn w:val="6"/>
    <w:qFormat/>
    <w:uiPriority w:val="0"/>
    <w:pPr>
      <w:spacing w:before="100" w:beforeLines="100" w:after="100" w:afterLines="100"/>
    </w:pPr>
  </w:style>
  <w:style w:type="paragraph" w:customStyle="1" w:styleId="6">
    <w:name w:val="样式 标题 1 + 两端对齐 段前: 7.8 磅 段后: 7.8 磅 行距: 固定值 19 磅"/>
    <w:basedOn w:val="2"/>
    <w:qFormat/>
    <w:uiPriority w:val="0"/>
    <w:pPr>
      <w:spacing w:before="400" w:beforeLines="400" w:after="400" w:afterLines="400" w:line="380" w:lineRule="exact"/>
    </w:pPr>
    <w:rPr>
      <w:rFonts w:cs="宋体"/>
      <w:szCs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Office_10.1.0.6135_F1E327BC-269C-435d-A152-05C5408002CA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dcterms:modified xsi:type="dcterms:W3CDTF">2017-01-05T03:08:41Z</dcterms:modified>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2052-10.1.0.6135</vt:lpwstr>
  </property>
</Properties>
</file>