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 w:ascii="微软雅黑" w:hAnsi="微软雅黑" w:eastAsia="微软雅黑" w:cs="微软雅黑"/>
          <w:b/>
          <w:sz w:val="20"/>
        </w:rPr>
        <w:t>微课笔</w:t>
      </w:r>
      <w:r>
        <w:rPr>
          <w:rFonts w:hint="eastAsia"/>
        </w:rPr>
        <w:t>100套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请报价。</w:t>
      </w:r>
    </w:p>
    <w:p>
      <w:pPr>
        <w:snapToGrid w:val="0"/>
        <w:spacing w:line="228" w:lineRule="auto"/>
        <w:rPr>
          <w:rFonts w:hint="eastAsia"/>
        </w:rPr>
      </w:pPr>
      <w:r>
        <w:rPr>
          <w:rFonts w:hint="eastAsia"/>
        </w:rPr>
        <w:t>技术参数</w:t>
      </w:r>
    </w:p>
    <w:p>
      <w:pPr>
        <w:snapToGrid w:val="0"/>
        <w:spacing w:line="228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一、硬件参数指标</w:t>
      </w:r>
    </w:p>
    <w:p>
      <w:pPr>
        <w:numPr>
          <w:ilvl w:val="0"/>
          <w:numId w:val="1"/>
        </w:numPr>
        <w:snapToGrid w:val="0"/>
        <w:spacing w:line="228" w:lineRule="auto"/>
        <w:rPr>
          <w:rFonts w:ascii="微软雅黑" w:hAnsi="微软雅黑" w:eastAsia="微软雅黑" w:cs="微软雅黑"/>
          <w:kern w:val="0"/>
          <w:sz w:val="20"/>
          <w:lang w:bidi="ar"/>
        </w:rPr>
      </w:pPr>
      <w:r>
        <w:rPr>
          <w:rFonts w:hint="eastAsia"/>
        </w:rPr>
        <w:t>设备组成：接收器、微课笔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无线技术：随处可用，无需定位，无线连接，蓝牙4.0传输协议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传输技术：红外线及超声波（Appx.80KHz）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传输速度：80次/秒，定位精度0.050mm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电池：微课笔锂电池3.7v/65mAH（可充电电池）充电2小时以内，可连续工作8小时以上；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笔压力值：超过600点/L-共振传感器；感应力度无迟缓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笔芯：支持普通圆珠笔笔芯或塑料笔芯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笔杆：设有LED灯，提示是否有电；1分钟不工作自动启动休眠状态节约电，提供唤醒按键。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接收器技术：红外线及蓝牙超声波，无线连接，操作稳定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数据采集速度80times/sec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磁性定位：接收器内设磁性吸附条可固定普通A4纸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接收器电池：3.7v/65mAH（可充电电池）充电2小时以内，可连续工作8小时以上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★书写介质：普通A4纸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bookmarkStart w:id="0" w:name="OLE_LINK2"/>
      <w:r>
        <w:rPr>
          <w:rFonts w:hint="eastAsia"/>
        </w:rPr>
        <w:t>★</w:t>
      </w:r>
      <w:bookmarkEnd w:id="0"/>
      <w:r>
        <w:rPr>
          <w:rFonts w:hint="eastAsia"/>
        </w:rPr>
        <w:t xml:space="preserve"> 录制数据包：分辨率为1024*768以上像素，高清、矢量视频，视频文件支持高压缩比，采用无损压缩算法，5分钟视频文件少于10MB。（供现场演示视频文件供验证）。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本地保存：智能笔内设4G内存+手机本地内存</w:t>
      </w:r>
    </w:p>
    <w:p>
      <w:pPr>
        <w:numPr>
          <w:ilvl w:val="0"/>
          <w:numId w:val="2"/>
        </w:numPr>
        <w:snapToGrid w:val="0"/>
        <w:spacing w:line="228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APP软件功能参数</w:t>
      </w:r>
    </w:p>
    <w:p>
      <w:pPr>
        <w:snapToGrid w:val="0"/>
        <w:spacing w:line="228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A PP 软件录制微课功能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★背景：可选择录制背景图颜色，也可在手机图库中选择图片作为背景图。</w:t>
      </w:r>
    </w:p>
    <w:p>
      <w:pPr>
        <w:numPr>
          <w:ilvl w:val="0"/>
          <w:numId w:val="1"/>
        </w:numPr>
        <w:snapToGrid w:val="0"/>
        <w:spacing w:line="228" w:lineRule="auto"/>
        <w:rPr>
          <w:rFonts w:hint="eastAsia"/>
        </w:rPr>
      </w:pPr>
      <w:r>
        <w:rPr>
          <w:rFonts w:hint="eastAsia"/>
        </w:rPr>
        <w:t>片头：可制作片头，上传片头logo，写明主讲人和学习目标。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★笔色：在录制过程中可更换笔的颜色，支持：黑色、白色、红色以及蓝色。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选色：在选择某种背景图颜色的时候，对应颜色的笔将不会显示出来。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★多页：录制过程中可添加新的页面，也可返回到原来录制的页面。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★声音：可同步录制笔迹与声音。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★保存：录制结束后，可按照年级科目归类保存微课视频。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笔迹压感：书写过程中，体验出微课笔压感功能。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★屏幕书写：能直接在屏幕上书写。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★笔粗：录制过程中，能修改笔粗大小。</w:t>
      </w:r>
    </w:p>
    <w:p>
      <w:pPr>
        <w:snapToGrid w:val="0"/>
        <w:spacing w:line="223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APP软件微课播放功能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★显示背景：播放过程中，显示录制的背景。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显示片头：播放过程中，显示录制制订的片头。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★显示笔色：播放过程中显示笔迹录制的颜色，支持：黑色、白色、红色以及蓝色。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★显示多页功能：播放过程中表现新的页面切换、返回到原来播放页面的功能。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★播放声音：播放与笔迹同步的声音。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笔迹压感：播放过程中，体验出微课笔压感功能。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★显示屏幕书写笔迹：播放屏幕书写的笔迹。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★显示笔粗：播放过程中，能表现出录制时的笔粗大小。</w:t>
      </w:r>
    </w:p>
    <w:p>
      <w:pPr>
        <w:snapToGrid w:val="0"/>
        <w:spacing w:line="223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APP软件微课管理功能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离线：可离线保存到手机本地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★上传：可上传自己录制的微课视频至云平台（必须显示出录制微课在云平台显示）。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删除：可删除自己录制的微课视频。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浏览：可离线或在线查看已上传的微课。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发布：发布已上传的微课给自己班级的学生。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反馈：查看已发布的微课，可以查看学生学习的情况，支持发布评论。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★分享：可一键分享到自己的社交圈（可同时</w:t>
      </w:r>
      <w:r>
        <w:t>支持</w:t>
      </w:r>
      <w:r>
        <w:rPr>
          <w:rFonts w:hint="eastAsia"/>
        </w:rPr>
        <w:t>qq、微信、微博）。</w:t>
      </w:r>
    </w:p>
    <w:p>
      <w:pPr>
        <w:snapToGrid w:val="0"/>
        <w:spacing w:line="223" w:lineRule="auto"/>
        <w:rPr>
          <w:rFonts w:hint="eastAsia"/>
          <w:b/>
          <w:bCs/>
        </w:rPr>
      </w:pPr>
    </w:p>
    <w:p>
      <w:pPr>
        <w:numPr>
          <w:ilvl w:val="0"/>
          <w:numId w:val="2"/>
        </w:numPr>
        <w:snapToGrid w:val="0"/>
        <w:spacing w:line="223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云平台服务</w:t>
      </w:r>
    </w:p>
    <w:p>
      <w:pPr>
        <w:snapToGrid w:val="0"/>
        <w:spacing w:line="223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教师账号微课管理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分类：所有自己录制的微课视频都将默认在“我的微课”模块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★共享：共享自己录制的微课视频到校内资源平台，支持,校内资源共享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取消：取消已共享的微课视频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收藏：收藏微课视频到“我的收藏“；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整理：可以删除已收藏的微课视频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★发布：发布视频给学生学习，可一键发布全班同学，并可同步发给学生家长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定时：可指定发布的时间段，可随时修改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★反馈：查看已发布的微课，可以查看学生学习的情况，支持发布评论。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答复：可回复学生观看视频后的评论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编辑：可编辑微课视频名称及简介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删除：可删除微课视频，支持全选删除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下载：可下载微课视频</w:t>
      </w:r>
    </w:p>
    <w:p>
      <w:pPr>
        <w:numPr>
          <w:ilvl w:val="0"/>
          <w:numId w:val="1"/>
        </w:numPr>
        <w:snapToGrid w:val="0"/>
        <w:spacing w:line="223" w:lineRule="auto"/>
        <w:rPr>
          <w:rFonts w:hint="eastAsia"/>
        </w:rPr>
      </w:pPr>
      <w:r>
        <w:rPr>
          <w:rFonts w:hint="eastAsia"/>
        </w:rPr>
        <w:t>查看：可查看其他老师分享的微课视频，支持搜索和班级、学科分类查询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★扩展：可以无缝连接云办公，云教学，云资源，家校互通平台，支持单点登录，用户统一管理。</w:t>
      </w:r>
    </w:p>
    <w:p>
      <w:pPr>
        <w:spacing w:line="360" w:lineRule="auto"/>
        <w:ind w:firstLine="590" w:firstLineChars="245"/>
        <w:rPr>
          <w:rFonts w:ascii="宋体" w:hAnsi="宋体"/>
          <w:b/>
          <w:bCs/>
          <w:color w:val="000000"/>
          <w:sz w:val="24"/>
        </w:rPr>
      </w:pPr>
      <w:r>
        <w:rPr>
          <w:rFonts w:hint="eastAsia" w:ascii="宋体" w:hAnsi="宋体"/>
          <w:b/>
          <w:bCs/>
          <w:color w:val="000000"/>
          <w:sz w:val="24"/>
        </w:rPr>
        <w:t>1、</w:t>
      </w:r>
      <w:r>
        <w:rPr>
          <w:rFonts w:hint="eastAsia" w:ascii="宋体" w:hAnsi="宋体"/>
          <w:b/>
          <w:bCs/>
          <w:color w:val="000000"/>
          <w:sz w:val="24"/>
          <w:lang w:val="en-US" w:eastAsia="zh-CN"/>
        </w:rPr>
        <w:t>所供产品</w:t>
      </w:r>
      <w:r>
        <w:rPr>
          <w:rFonts w:hint="eastAsia" w:ascii="宋体" w:hAnsi="宋体"/>
          <w:b/>
          <w:bCs/>
          <w:color w:val="000000"/>
          <w:sz w:val="24"/>
        </w:rPr>
        <w:t>技术参数性能（配置）</w:t>
      </w:r>
      <w:r>
        <w:rPr>
          <w:rFonts w:hint="eastAsia" w:ascii="宋体" w:hAnsi="宋体"/>
          <w:b/>
          <w:bCs/>
          <w:color w:val="000000"/>
          <w:sz w:val="24"/>
          <w:lang w:val="en-US" w:eastAsia="zh-CN"/>
        </w:rPr>
        <w:t>可</w:t>
      </w:r>
      <w:r>
        <w:rPr>
          <w:rFonts w:hint="eastAsia" w:ascii="宋体" w:hAnsi="宋体"/>
          <w:b/>
          <w:bCs/>
          <w:color w:val="000000"/>
          <w:sz w:val="24"/>
        </w:rPr>
        <w:t>实质上相当于或优于参考技术参数性能（配置）要求；</w:t>
      </w:r>
    </w:p>
    <w:p>
      <w:pPr>
        <w:spacing w:line="360" w:lineRule="auto"/>
        <w:ind w:firstLine="590" w:firstLineChars="245"/>
        <w:rPr>
          <w:rFonts w:hint="eastAsia"/>
        </w:rPr>
      </w:pPr>
      <w:r>
        <w:rPr>
          <w:rFonts w:hint="eastAsia" w:ascii="宋体" w:hAnsi="宋体"/>
          <w:b/>
          <w:bCs/>
          <w:color w:val="000000"/>
          <w:sz w:val="24"/>
        </w:rPr>
        <w:t>2、</w:t>
      </w:r>
      <w:r>
        <w:rPr>
          <w:rFonts w:ascii="宋体" w:hAnsi="宋体"/>
          <w:b/>
          <w:bCs/>
          <w:color w:val="000000"/>
          <w:sz w:val="24"/>
        </w:rPr>
        <w:t>技术参数</w:t>
      </w:r>
      <w:r>
        <w:rPr>
          <w:rFonts w:hint="eastAsia" w:ascii="宋体" w:hAnsi="宋体"/>
          <w:b/>
          <w:bCs/>
          <w:color w:val="000000"/>
          <w:sz w:val="24"/>
        </w:rPr>
        <w:t>性能（配置）</w:t>
      </w:r>
      <w:r>
        <w:rPr>
          <w:rFonts w:ascii="宋体" w:hAnsi="宋体"/>
          <w:b/>
          <w:bCs/>
          <w:color w:val="000000"/>
          <w:sz w:val="24"/>
        </w:rPr>
        <w:t>不明确或有误的，</w:t>
      </w:r>
      <w:r>
        <w:rPr>
          <w:rFonts w:hint="eastAsia" w:ascii="宋体" w:hAnsi="宋体"/>
          <w:b/>
          <w:bCs/>
          <w:color w:val="000000"/>
          <w:sz w:val="24"/>
          <w:lang w:val="en-US" w:eastAsia="zh-CN"/>
        </w:rPr>
        <w:t>可用另列明</w:t>
      </w:r>
      <w:r>
        <w:rPr>
          <w:rFonts w:ascii="宋体" w:hAnsi="宋体"/>
          <w:b/>
          <w:bCs/>
          <w:color w:val="000000"/>
          <w:sz w:val="24"/>
        </w:rPr>
        <w:t>详细、正确</w:t>
      </w:r>
      <w:r>
        <w:rPr>
          <w:rFonts w:hint="eastAsia" w:ascii="宋体" w:hAnsi="宋体"/>
          <w:b/>
          <w:bCs/>
          <w:color w:val="000000"/>
          <w:sz w:val="24"/>
          <w:lang w:val="en-US" w:eastAsia="zh-CN"/>
        </w:rPr>
        <w:t>的</w:t>
      </w:r>
      <w:r>
        <w:rPr>
          <w:rFonts w:ascii="宋体" w:hAnsi="宋体"/>
          <w:b/>
          <w:bCs/>
          <w:color w:val="000000"/>
          <w:sz w:val="24"/>
        </w:rPr>
        <w:t>技术参数</w:t>
      </w:r>
      <w:r>
        <w:rPr>
          <w:rFonts w:hint="eastAsia" w:ascii="宋体" w:hAnsi="宋体"/>
          <w:b/>
          <w:bCs/>
          <w:color w:val="000000"/>
          <w:sz w:val="24"/>
        </w:rPr>
        <w:t>性能（配置）</w:t>
      </w:r>
      <w:r>
        <w:rPr>
          <w:rFonts w:hint="eastAsia" w:ascii="宋体" w:hAnsi="宋体"/>
          <w:b/>
          <w:bCs/>
          <w:color w:val="000000"/>
          <w:sz w:val="24"/>
          <w:lang w:eastAsia="zh-CN"/>
        </w:rPr>
        <w:t>。</w:t>
      </w:r>
      <w:bookmarkStart w:id="1" w:name="_GoBack"/>
      <w:bookmarkEnd w:id="1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110A5"/>
    <w:multiLevelType w:val="singleLevel"/>
    <w:tmpl w:val="583110A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58325991"/>
    <w:multiLevelType w:val="singleLevel"/>
    <w:tmpl w:val="58325991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54756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2016-11-25T09:48:29Z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