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7FDBEB">
      <w:pPr>
        <w:rPr>
          <w:rFonts w:hint="default"/>
        </w:rPr>
      </w:pPr>
      <w:r>
        <w:rPr>
          <w:rFonts w:hint="default"/>
        </w:rPr>
        <w:t>1. 范围（Scope）</w:t>
      </w:r>
    </w:p>
    <w:p w14:paraId="37F15FF3">
      <w:pPr>
        <w:rPr>
          <w:rFonts w:hint="eastAsia" w:eastAsiaTheme="minorEastAsia"/>
          <w:lang w:val="en-US" w:eastAsia="zh-CN"/>
        </w:rPr>
      </w:pPr>
      <w:r>
        <w:rPr>
          <w:rFonts w:hint="default"/>
        </w:rPr>
        <w:t>本规范适用于 Inconel 925 镍-铬合金棒材和管材。符合本规范要求的材料应具有最低屈服强度：110 ksi（758 MPa）</w:t>
      </w:r>
      <w:r>
        <w:rPr>
          <w:rFonts w:hint="eastAsia"/>
          <w:lang w:eastAsia="zh-CN"/>
        </w:rPr>
        <w:t>，</w:t>
      </w:r>
      <w:r>
        <w:rPr>
          <w:rFonts w:hint="default"/>
        </w:rPr>
        <w:t>硬度范围：26–38 HRC</w:t>
      </w:r>
      <w:r>
        <w:rPr>
          <w:rFonts w:hint="eastAsia"/>
          <w:lang w:eastAsia="zh-CN"/>
        </w:rPr>
        <w:t>。</w:t>
      </w:r>
      <w:r>
        <w:rPr>
          <w:rFonts w:hint="default"/>
        </w:rPr>
        <w:t>该材料应适用于符合 NACE MR0175/ISO 15156 要求的酸性（含硫）环境，并符合 API 6A CRA 的要求。机械性能和化学性能参考标准：API 6ACRA</w:t>
      </w:r>
      <w:r>
        <w:rPr>
          <w:rFonts w:hint="eastAsia"/>
          <w:lang w:eastAsia="zh-CN"/>
        </w:rPr>
        <w:t>。</w:t>
      </w:r>
    </w:p>
    <w:p w14:paraId="1717B9BA">
      <w:pPr>
        <w:rPr>
          <w:rFonts w:hint="default"/>
        </w:rPr>
      </w:pPr>
    </w:p>
    <w:p w14:paraId="31EA2DCE">
      <w:pPr>
        <w:rPr>
          <w:rFonts w:hint="default"/>
        </w:rPr>
      </w:pPr>
      <w:r>
        <w:rPr>
          <w:rFonts w:hint="default"/>
        </w:rPr>
        <w:t>2. 材料性能（Material Properties）</w:t>
      </w:r>
    </w:p>
    <w:p w14:paraId="41856C0A">
      <w:pPr>
        <w:rPr>
          <w:rFonts w:hint="default"/>
        </w:rPr>
      </w:pPr>
      <w:r>
        <w:rPr>
          <w:rFonts w:hint="default"/>
        </w:rPr>
        <w:t>2.1 化学成分（Chemical Composition）</w:t>
      </w:r>
    </w:p>
    <w:p w14:paraId="37A2FE27">
      <w:pPr>
        <w:rPr>
          <w:rFonts w:hint="default"/>
        </w:rPr>
      </w:pPr>
      <w:r>
        <w:rPr>
          <w:rFonts w:hint="default"/>
        </w:rPr>
        <w:t>化学成分应按照 ASTM A751 进行测定，并应满足以下要求：</w:t>
      </w:r>
    </w:p>
    <w:tbl>
      <w:tblPr>
        <w:tblW w:w="9235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4"/>
        <w:gridCol w:w="708"/>
        <w:gridCol w:w="456"/>
        <w:gridCol w:w="567"/>
        <w:gridCol w:w="567"/>
        <w:gridCol w:w="708"/>
        <w:gridCol w:w="567"/>
        <w:gridCol w:w="567"/>
        <w:gridCol w:w="567"/>
        <w:gridCol w:w="424"/>
        <w:gridCol w:w="567"/>
        <w:gridCol w:w="595"/>
        <w:gridCol w:w="1436"/>
        <w:gridCol w:w="582"/>
      </w:tblGrid>
      <w:tr w14:paraId="150AA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" w:hRule="atLeast"/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0312E1EA">
            <w:pPr>
              <w:rPr>
                <w:rFonts w:hint="default"/>
              </w:rPr>
            </w:pPr>
            <w:bookmarkStart w:id="0" w:name="_GoBack"/>
            <w:bookmarkEnd w:id="0"/>
            <w:r>
              <w:rPr>
                <w:rFonts w:hint="default"/>
                <w:lang w:val="en-US" w:eastAsia="zh-CN"/>
              </w:rPr>
              <w:t>元素</w:t>
            </w:r>
          </w:p>
        </w:tc>
        <w:tc>
          <w:tcPr>
            <w:tcW w:w="0" w:type="auto"/>
            <w:shd w:val="clear"/>
            <w:vAlign w:val="center"/>
          </w:tcPr>
          <w:p w14:paraId="3648DFAD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C</w:t>
            </w:r>
          </w:p>
        </w:tc>
        <w:tc>
          <w:tcPr>
            <w:tcW w:w="0" w:type="auto"/>
            <w:shd w:val="clear"/>
            <w:vAlign w:val="center"/>
          </w:tcPr>
          <w:p w14:paraId="1C96B8C2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Mn</w:t>
            </w:r>
          </w:p>
        </w:tc>
        <w:tc>
          <w:tcPr>
            <w:tcW w:w="0" w:type="auto"/>
            <w:shd w:val="clear"/>
            <w:vAlign w:val="center"/>
          </w:tcPr>
          <w:p w14:paraId="5CA90591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Si</w:t>
            </w:r>
          </w:p>
        </w:tc>
        <w:tc>
          <w:tcPr>
            <w:tcW w:w="0" w:type="auto"/>
            <w:shd w:val="clear"/>
            <w:vAlign w:val="center"/>
          </w:tcPr>
          <w:p w14:paraId="4830187C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P</w:t>
            </w:r>
          </w:p>
        </w:tc>
        <w:tc>
          <w:tcPr>
            <w:tcW w:w="0" w:type="auto"/>
            <w:shd w:val="clear"/>
            <w:vAlign w:val="center"/>
          </w:tcPr>
          <w:p w14:paraId="34B2AF70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S</w:t>
            </w:r>
          </w:p>
        </w:tc>
        <w:tc>
          <w:tcPr>
            <w:tcW w:w="0" w:type="auto"/>
            <w:shd w:val="clear"/>
            <w:vAlign w:val="center"/>
          </w:tcPr>
          <w:p w14:paraId="04B91641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Cr</w:t>
            </w:r>
          </w:p>
        </w:tc>
        <w:tc>
          <w:tcPr>
            <w:tcW w:w="0" w:type="auto"/>
            <w:shd w:val="clear"/>
            <w:vAlign w:val="center"/>
          </w:tcPr>
          <w:p w14:paraId="685E0B32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Mo</w:t>
            </w:r>
          </w:p>
        </w:tc>
        <w:tc>
          <w:tcPr>
            <w:tcW w:w="0" w:type="auto"/>
            <w:shd w:val="clear"/>
            <w:vAlign w:val="center"/>
          </w:tcPr>
          <w:p w14:paraId="658ABBDF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Ni</w:t>
            </w:r>
          </w:p>
        </w:tc>
        <w:tc>
          <w:tcPr>
            <w:tcW w:w="0" w:type="auto"/>
            <w:shd w:val="clear"/>
            <w:vAlign w:val="center"/>
          </w:tcPr>
          <w:p w14:paraId="658854CC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Cu</w:t>
            </w:r>
          </w:p>
        </w:tc>
        <w:tc>
          <w:tcPr>
            <w:tcW w:w="0" w:type="auto"/>
            <w:shd w:val="clear"/>
            <w:vAlign w:val="center"/>
          </w:tcPr>
          <w:p w14:paraId="1990C33C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Ti</w:t>
            </w:r>
          </w:p>
        </w:tc>
        <w:tc>
          <w:tcPr>
            <w:tcW w:w="566" w:type="dxa"/>
            <w:shd w:val="clear"/>
            <w:vAlign w:val="center"/>
          </w:tcPr>
          <w:p w14:paraId="4DA06127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Al</w:t>
            </w:r>
          </w:p>
        </w:tc>
        <w:tc>
          <w:tcPr>
            <w:tcW w:w="1408" w:type="dxa"/>
            <w:shd w:val="clear"/>
            <w:vAlign w:val="center"/>
          </w:tcPr>
          <w:p w14:paraId="70F9BE10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Fe</w:t>
            </w:r>
          </w:p>
        </w:tc>
        <w:tc>
          <w:tcPr>
            <w:tcW w:w="0" w:type="auto"/>
            <w:shd w:val="clear"/>
            <w:vAlign w:val="center"/>
          </w:tcPr>
          <w:p w14:paraId="4A9F5736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Nb</w:t>
            </w:r>
          </w:p>
        </w:tc>
      </w:tr>
      <w:tr w14:paraId="0C636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4" w:hRule="atLeast"/>
          <w:tblCellSpacing w:w="15" w:type="dxa"/>
        </w:trPr>
        <w:tc>
          <w:tcPr>
            <w:tcW w:w="0" w:type="auto"/>
            <w:shd w:val="clear"/>
            <w:vAlign w:val="center"/>
          </w:tcPr>
          <w:p w14:paraId="149C3922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最小值</w:t>
            </w:r>
          </w:p>
        </w:tc>
        <w:tc>
          <w:tcPr>
            <w:tcW w:w="0" w:type="auto"/>
            <w:shd w:val="clear"/>
            <w:vAlign w:val="center"/>
          </w:tcPr>
          <w:p w14:paraId="04374C95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—</w:t>
            </w:r>
          </w:p>
        </w:tc>
        <w:tc>
          <w:tcPr>
            <w:tcW w:w="0" w:type="auto"/>
            <w:shd w:val="clear"/>
            <w:vAlign w:val="center"/>
          </w:tcPr>
          <w:p w14:paraId="6AB72E0C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—</w:t>
            </w:r>
          </w:p>
        </w:tc>
        <w:tc>
          <w:tcPr>
            <w:tcW w:w="0" w:type="auto"/>
            <w:shd w:val="clear"/>
            <w:vAlign w:val="center"/>
          </w:tcPr>
          <w:p w14:paraId="509935DC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—</w:t>
            </w:r>
          </w:p>
        </w:tc>
        <w:tc>
          <w:tcPr>
            <w:tcW w:w="0" w:type="auto"/>
            <w:shd w:val="clear"/>
            <w:vAlign w:val="center"/>
          </w:tcPr>
          <w:p w14:paraId="1A793228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—</w:t>
            </w:r>
          </w:p>
        </w:tc>
        <w:tc>
          <w:tcPr>
            <w:tcW w:w="0" w:type="auto"/>
            <w:shd w:val="clear"/>
            <w:vAlign w:val="center"/>
          </w:tcPr>
          <w:p w14:paraId="0416FE2C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—</w:t>
            </w:r>
          </w:p>
        </w:tc>
        <w:tc>
          <w:tcPr>
            <w:tcW w:w="0" w:type="auto"/>
            <w:shd w:val="clear"/>
            <w:vAlign w:val="center"/>
          </w:tcPr>
          <w:p w14:paraId="34AB38B8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19.5</w:t>
            </w:r>
          </w:p>
        </w:tc>
        <w:tc>
          <w:tcPr>
            <w:tcW w:w="0" w:type="auto"/>
            <w:shd w:val="clear"/>
            <w:vAlign w:val="center"/>
          </w:tcPr>
          <w:p w14:paraId="28626335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2.50</w:t>
            </w:r>
          </w:p>
        </w:tc>
        <w:tc>
          <w:tcPr>
            <w:tcW w:w="0" w:type="auto"/>
            <w:shd w:val="clear"/>
            <w:vAlign w:val="center"/>
          </w:tcPr>
          <w:p w14:paraId="0BEFB70D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42.0</w:t>
            </w:r>
          </w:p>
        </w:tc>
        <w:tc>
          <w:tcPr>
            <w:tcW w:w="0" w:type="auto"/>
            <w:shd w:val="clear"/>
            <w:vAlign w:val="center"/>
          </w:tcPr>
          <w:p w14:paraId="5D52DA39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1.5</w:t>
            </w:r>
          </w:p>
        </w:tc>
        <w:tc>
          <w:tcPr>
            <w:tcW w:w="0" w:type="auto"/>
            <w:shd w:val="clear"/>
            <w:vAlign w:val="center"/>
          </w:tcPr>
          <w:p w14:paraId="56DFFBAC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1.90</w:t>
            </w:r>
          </w:p>
        </w:tc>
        <w:tc>
          <w:tcPr>
            <w:tcW w:w="566" w:type="dxa"/>
            <w:shd w:val="clear"/>
            <w:vAlign w:val="center"/>
          </w:tcPr>
          <w:p w14:paraId="6BE491B0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</w:t>
            </w:r>
          </w:p>
        </w:tc>
        <w:tc>
          <w:tcPr>
            <w:tcW w:w="1408" w:type="dxa"/>
            <w:shd w:val="clear"/>
            <w:vAlign w:val="center"/>
          </w:tcPr>
          <w:p w14:paraId="2333E5DE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22</w:t>
            </w:r>
          </w:p>
        </w:tc>
        <w:tc>
          <w:tcPr>
            <w:tcW w:w="0" w:type="auto"/>
            <w:shd w:val="clear"/>
            <w:vAlign w:val="center"/>
          </w:tcPr>
          <w:p w14:paraId="348BD9CA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</w:t>
            </w:r>
          </w:p>
        </w:tc>
      </w:tr>
      <w:tr w14:paraId="38269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  <w:tblCellSpacing w:w="15" w:type="dxa"/>
        </w:trPr>
        <w:tc>
          <w:tcPr>
            <w:tcW w:w="0" w:type="auto"/>
            <w:shd w:val="clear"/>
            <w:vAlign w:val="center"/>
          </w:tcPr>
          <w:p w14:paraId="7DEE19EE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最大值</w:t>
            </w:r>
          </w:p>
        </w:tc>
        <w:tc>
          <w:tcPr>
            <w:tcW w:w="0" w:type="auto"/>
            <w:shd w:val="clear"/>
            <w:vAlign w:val="center"/>
          </w:tcPr>
          <w:p w14:paraId="7E1D0A65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0.025</w:t>
            </w:r>
          </w:p>
        </w:tc>
        <w:tc>
          <w:tcPr>
            <w:tcW w:w="0" w:type="auto"/>
            <w:shd w:val="clear"/>
            <w:vAlign w:val="center"/>
          </w:tcPr>
          <w:p w14:paraId="3DCA3476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1.0</w:t>
            </w:r>
          </w:p>
        </w:tc>
        <w:tc>
          <w:tcPr>
            <w:tcW w:w="0" w:type="auto"/>
            <w:shd w:val="clear"/>
            <w:vAlign w:val="center"/>
          </w:tcPr>
          <w:p w14:paraId="2AE121D4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0.35</w:t>
            </w:r>
          </w:p>
        </w:tc>
        <w:tc>
          <w:tcPr>
            <w:tcW w:w="0" w:type="auto"/>
            <w:shd w:val="clear"/>
            <w:vAlign w:val="center"/>
          </w:tcPr>
          <w:p w14:paraId="3EDB9941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0.02</w:t>
            </w:r>
          </w:p>
        </w:tc>
        <w:tc>
          <w:tcPr>
            <w:tcW w:w="0" w:type="auto"/>
            <w:shd w:val="clear"/>
            <w:vAlign w:val="center"/>
          </w:tcPr>
          <w:p w14:paraId="35D5391F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0.003</w:t>
            </w:r>
          </w:p>
        </w:tc>
        <w:tc>
          <w:tcPr>
            <w:tcW w:w="0" w:type="auto"/>
            <w:shd w:val="clear"/>
            <w:vAlign w:val="center"/>
          </w:tcPr>
          <w:p w14:paraId="19B57862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22.5</w:t>
            </w:r>
          </w:p>
        </w:tc>
        <w:tc>
          <w:tcPr>
            <w:tcW w:w="0" w:type="auto"/>
            <w:shd w:val="clear"/>
            <w:vAlign w:val="center"/>
          </w:tcPr>
          <w:p w14:paraId="72C8DCFE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3.50</w:t>
            </w:r>
          </w:p>
        </w:tc>
        <w:tc>
          <w:tcPr>
            <w:tcW w:w="0" w:type="auto"/>
            <w:shd w:val="clear"/>
            <w:vAlign w:val="center"/>
          </w:tcPr>
          <w:p w14:paraId="6F4749D2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46.0</w:t>
            </w:r>
          </w:p>
        </w:tc>
        <w:tc>
          <w:tcPr>
            <w:tcW w:w="0" w:type="auto"/>
            <w:shd w:val="clear"/>
            <w:vAlign w:val="center"/>
          </w:tcPr>
          <w:p w14:paraId="1A7199B7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3.0</w:t>
            </w:r>
          </w:p>
        </w:tc>
        <w:tc>
          <w:tcPr>
            <w:tcW w:w="0" w:type="auto"/>
            <w:shd w:val="clear"/>
            <w:vAlign w:val="center"/>
          </w:tcPr>
          <w:p w14:paraId="278ECF7E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2.40</w:t>
            </w:r>
          </w:p>
        </w:tc>
        <w:tc>
          <w:tcPr>
            <w:tcW w:w="566" w:type="dxa"/>
            <w:shd w:val="clear"/>
            <w:vAlign w:val="center"/>
          </w:tcPr>
          <w:p w14:paraId="2F675C35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0.5</w:t>
            </w:r>
          </w:p>
        </w:tc>
        <w:tc>
          <w:tcPr>
            <w:tcW w:w="1408" w:type="dxa"/>
            <w:shd w:val="clear"/>
            <w:vAlign w:val="center"/>
          </w:tcPr>
          <w:p w14:paraId="6488D106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余量（Bal.）</w:t>
            </w:r>
          </w:p>
        </w:tc>
        <w:tc>
          <w:tcPr>
            <w:tcW w:w="0" w:type="auto"/>
            <w:shd w:val="clear"/>
            <w:vAlign w:val="center"/>
          </w:tcPr>
          <w:p w14:paraId="5B9A7AE5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0.50</w:t>
            </w:r>
          </w:p>
        </w:tc>
      </w:tr>
    </w:tbl>
    <w:p w14:paraId="58682BAB">
      <w:pPr>
        <w:rPr>
          <w:rFonts w:hint="default"/>
        </w:rPr>
      </w:pPr>
      <w:r>
        <w:rPr>
          <w:rFonts w:hint="default"/>
        </w:rPr>
        <w:t>2.2 机械性能（Mechanical Properties）</w:t>
      </w:r>
    </w:p>
    <w:p w14:paraId="4FCFFDEA">
      <w:pPr>
        <w:rPr>
          <w:rFonts w:hint="default"/>
        </w:rPr>
      </w:pPr>
      <w:r>
        <w:rPr>
          <w:rFonts w:hint="default"/>
        </w:rPr>
        <w:t>表面硬度不得超过 38 HRC，按照 ASTM E18（或 ASTM E10）进行测量。材料半径中部位置（mid-radius location）的机械性能应按照 ASTM A370 进行测定，并满足以下要求。对于作为棒材进行热处理的原材料，如果后续加工的 ID（内径）特征位置距离 OD（外径）表面的距离超过半径中部位置，则机械性能应在能够代表最小 ID 特征所在位置进行测量。</w:t>
      </w:r>
    </w:p>
    <w:tbl>
      <w:tblPr>
        <w:tblW w:w="8618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50"/>
        <w:gridCol w:w="1881"/>
        <w:gridCol w:w="1266"/>
        <w:gridCol w:w="820"/>
        <w:gridCol w:w="2001"/>
      </w:tblGrid>
      <w:tr w14:paraId="5AB44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3FC99B22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屈服强度</w:t>
            </w:r>
          </w:p>
        </w:tc>
        <w:tc>
          <w:tcPr>
            <w:tcW w:w="0" w:type="auto"/>
            <w:shd w:val="clear"/>
            <w:vAlign w:val="center"/>
          </w:tcPr>
          <w:p w14:paraId="21240DE4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最小</w:t>
            </w:r>
            <w:r>
              <w:rPr>
                <w:rFonts w:hint="default"/>
                <w:lang w:val="en-US" w:eastAsia="zh-CN"/>
              </w:rPr>
              <w:t>抗拉强度</w:t>
            </w:r>
          </w:p>
        </w:tc>
        <w:tc>
          <w:tcPr>
            <w:tcW w:w="0" w:type="auto"/>
            <w:shd w:val="clear"/>
            <w:vAlign w:val="center"/>
          </w:tcPr>
          <w:p w14:paraId="343C50D4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硬度</w:t>
            </w:r>
          </w:p>
        </w:tc>
        <w:tc>
          <w:tcPr>
            <w:tcW w:w="0" w:type="auto"/>
            <w:shd w:val="clear"/>
            <w:vAlign w:val="center"/>
          </w:tcPr>
          <w:p w14:paraId="562B3493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延伸率</w:t>
            </w:r>
          </w:p>
        </w:tc>
        <w:tc>
          <w:tcPr>
            <w:tcW w:w="0" w:type="auto"/>
            <w:shd w:val="clear"/>
            <w:vAlign w:val="center"/>
          </w:tcPr>
          <w:p w14:paraId="1F7DF9E0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断面收缩率</w:t>
            </w:r>
          </w:p>
        </w:tc>
      </w:tr>
      <w:tr w14:paraId="4B530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15" w:type="dxa"/>
        </w:trPr>
        <w:tc>
          <w:tcPr>
            <w:tcW w:w="0" w:type="auto"/>
            <w:shd w:val="clear"/>
            <w:vAlign w:val="center"/>
          </w:tcPr>
          <w:p w14:paraId="56EFE0B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最小：</w:t>
            </w:r>
            <w:r>
              <w:rPr>
                <w:rFonts w:hint="default"/>
                <w:lang w:val="en-US" w:eastAsia="zh-CN"/>
              </w:rPr>
              <w:t>110 ksi (758 MPa)</w:t>
            </w:r>
          </w:p>
          <w:p w14:paraId="3FE96331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最大：</w:t>
            </w:r>
            <w:r>
              <w:rPr>
                <w:rFonts w:hint="default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40</w:t>
            </w:r>
            <w:r>
              <w:rPr>
                <w:rFonts w:hint="default"/>
                <w:lang w:val="en-US" w:eastAsia="zh-CN"/>
              </w:rPr>
              <w:t xml:space="preserve"> ksi (</w:t>
            </w:r>
            <w:r>
              <w:rPr>
                <w:rFonts w:hint="eastAsia"/>
                <w:lang w:val="en-US" w:eastAsia="zh-CN"/>
              </w:rPr>
              <w:t>965</w:t>
            </w:r>
            <w:r>
              <w:rPr>
                <w:rFonts w:hint="default"/>
                <w:lang w:val="en-US" w:eastAsia="zh-CN"/>
              </w:rPr>
              <w:t xml:space="preserve"> MPa)</w:t>
            </w:r>
          </w:p>
        </w:tc>
        <w:tc>
          <w:tcPr>
            <w:tcW w:w="0" w:type="auto"/>
            <w:shd w:val="clear"/>
            <w:vAlign w:val="center"/>
          </w:tcPr>
          <w:p w14:paraId="6AC7D1C6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140 ksi (965 MPa) </w:t>
            </w:r>
          </w:p>
        </w:tc>
        <w:tc>
          <w:tcPr>
            <w:tcW w:w="0" w:type="auto"/>
            <w:shd w:val="clear"/>
            <w:vAlign w:val="center"/>
          </w:tcPr>
          <w:p w14:paraId="1D20BD5E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26–38 HRCᵃ</w:t>
            </w:r>
          </w:p>
        </w:tc>
        <w:tc>
          <w:tcPr>
            <w:tcW w:w="0" w:type="auto"/>
            <w:shd w:val="clear"/>
            <w:vAlign w:val="center"/>
          </w:tcPr>
          <w:p w14:paraId="2A82F217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≥18%</w:t>
            </w:r>
          </w:p>
        </w:tc>
        <w:tc>
          <w:tcPr>
            <w:tcW w:w="0" w:type="auto"/>
            <w:shd w:val="clear"/>
            <w:vAlign w:val="center"/>
          </w:tcPr>
          <w:p w14:paraId="141558DF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≤10" 厚度：≥25%</w:t>
            </w:r>
          </w:p>
          <w:p w14:paraId="1D59D7A6">
            <w:pPr>
              <w:rPr>
                <w:rFonts w:hint="default"/>
                <w:lang w:val="en-US" w:eastAsia="zh-CN"/>
              </w:rPr>
            </w:pPr>
            <w:r>
              <w:rPr>
                <w:rFonts w:hint="default" w:ascii="Calibri" w:hAnsi="Calibri" w:cs="Calibri"/>
                <w:lang w:val="en-US" w:eastAsia="zh-CN"/>
              </w:rPr>
              <w:t>˃</w:t>
            </w:r>
            <w:r>
              <w:rPr>
                <w:rFonts w:hint="default"/>
                <w:lang w:val="en-US" w:eastAsia="zh-CN"/>
              </w:rPr>
              <w:t>10" 厚度：≥2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default"/>
                <w:lang w:val="en-US" w:eastAsia="zh-CN"/>
              </w:rPr>
              <w:t>%</w:t>
            </w:r>
          </w:p>
        </w:tc>
      </w:tr>
    </w:tbl>
    <w:p w14:paraId="19978246">
      <w:pPr>
        <w:rPr>
          <w:rFonts w:hint="default"/>
          <w:lang w:val="en-US" w:eastAsia="zh-CN"/>
        </w:rPr>
      </w:pPr>
    </w:p>
    <w:p w14:paraId="4A3922E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ᵃ 最大硬度限制应符合 ANSI/NACE MR0175 的要求。</w:t>
      </w:r>
    </w:p>
    <w:p w14:paraId="144A42BD">
      <w:pPr>
        <w:rPr>
          <w:rFonts w:hint="default"/>
          <w:lang w:val="en-US" w:eastAsia="zh-CN"/>
        </w:rPr>
      </w:pPr>
    </w:p>
    <w:p w14:paraId="2483DBB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2.3 夏比 V 型缺口冲击韧性要求</w:t>
      </w:r>
    </w:p>
    <w:p w14:paraId="1DDD05E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夏比冲击试验应按照 API 6ACRA 进行，并符合该标准中的相关要求。以下表格为将 API 6ACRA 中的要求复制于此作为参考。一组三个试样的平均冲击功应达到或超过规定的平均值。三个试样中：最多允许 1 个试样的冲击功低于规定的平均值；但该试样的冲击功不得低于规定的单个试样最低值；任何试样的侧向膨胀量（Lateral Expansion）均不得低于规定值。</w:t>
      </w:r>
    </w:p>
    <w:p w14:paraId="04D1D1A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冲击试验要求</w:t>
      </w:r>
    </w:p>
    <w:tbl>
      <w:tblPr>
        <w:tblW w:w="8776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6"/>
        <w:gridCol w:w="2157"/>
        <w:gridCol w:w="1168"/>
        <w:gridCol w:w="1289"/>
        <w:gridCol w:w="1289"/>
        <w:gridCol w:w="1367"/>
      </w:tblGrid>
      <w:tr w14:paraId="4BF82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547647B7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温度</w:t>
            </w:r>
          </w:p>
        </w:tc>
        <w:tc>
          <w:tcPr>
            <w:tcW w:w="2127" w:type="dxa"/>
            <w:shd w:val="clear"/>
            <w:vAlign w:val="center"/>
          </w:tcPr>
          <w:p w14:paraId="3F5AB36F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QTC 横截面厚度</w:t>
            </w:r>
          </w:p>
        </w:tc>
        <w:tc>
          <w:tcPr>
            <w:tcW w:w="1138" w:type="dxa"/>
            <w:shd w:val="clear"/>
            <w:vAlign w:val="center"/>
          </w:tcPr>
          <w:p w14:paraId="366C8305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取样方向</w:t>
            </w:r>
          </w:p>
        </w:tc>
        <w:tc>
          <w:tcPr>
            <w:tcW w:w="0" w:type="auto"/>
            <w:shd w:val="clear"/>
            <w:vAlign w:val="center"/>
          </w:tcPr>
          <w:p w14:paraId="6E5544A6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最低平均冲击功</w:t>
            </w:r>
          </w:p>
        </w:tc>
        <w:tc>
          <w:tcPr>
            <w:tcW w:w="0" w:type="auto"/>
            <w:shd w:val="clear"/>
            <w:vAlign w:val="center"/>
          </w:tcPr>
          <w:p w14:paraId="5437A5F6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最低单个冲击功</w:t>
            </w:r>
          </w:p>
        </w:tc>
        <w:tc>
          <w:tcPr>
            <w:tcW w:w="0" w:type="auto"/>
            <w:shd w:val="clear"/>
            <w:vAlign w:val="center"/>
          </w:tcPr>
          <w:p w14:paraId="2FE36000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侧向膨胀</w:t>
            </w:r>
          </w:p>
        </w:tc>
      </w:tr>
      <w:tr w14:paraId="6B772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  <w:tblCellSpacing w:w="15" w:type="dxa"/>
        </w:trPr>
        <w:tc>
          <w:tcPr>
            <w:tcW w:w="0" w:type="auto"/>
            <w:shd w:val="clear"/>
            <w:vAlign w:val="center"/>
          </w:tcPr>
          <w:p w14:paraId="5029C52D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-75°F（约 -59°C）</w:t>
            </w:r>
          </w:p>
        </w:tc>
        <w:tc>
          <w:tcPr>
            <w:tcW w:w="2127" w:type="dxa"/>
            <w:shd w:val="clear"/>
            <w:vAlign w:val="center"/>
          </w:tcPr>
          <w:p w14:paraId="68C99F95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&lt;3"（76 mm）</w:t>
            </w:r>
          </w:p>
        </w:tc>
        <w:tc>
          <w:tcPr>
            <w:tcW w:w="1138" w:type="dxa"/>
            <w:shd w:val="clear"/>
            <w:vAlign w:val="center"/>
          </w:tcPr>
          <w:p w14:paraId="5DE8C6AF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纵向</w:t>
            </w:r>
          </w:p>
        </w:tc>
        <w:tc>
          <w:tcPr>
            <w:tcW w:w="0" w:type="auto"/>
            <w:shd w:val="clear"/>
            <w:vAlign w:val="center"/>
          </w:tcPr>
          <w:p w14:paraId="372B9AA9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35 ft-lb (47 J)</w:t>
            </w:r>
          </w:p>
        </w:tc>
        <w:tc>
          <w:tcPr>
            <w:tcW w:w="0" w:type="auto"/>
            <w:shd w:val="clear"/>
            <w:vAlign w:val="center"/>
          </w:tcPr>
          <w:p w14:paraId="19350558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32 ft-lb (43 J)</w:t>
            </w:r>
          </w:p>
        </w:tc>
        <w:tc>
          <w:tcPr>
            <w:tcW w:w="0" w:type="auto"/>
            <w:shd w:val="clear"/>
            <w:vAlign w:val="center"/>
          </w:tcPr>
          <w:p w14:paraId="71E5A889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0.015" (0.38 mm)</w:t>
            </w:r>
          </w:p>
        </w:tc>
      </w:tr>
      <w:tr w14:paraId="70DF6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  <w:tblCellSpacing w:w="15" w:type="dxa"/>
        </w:trPr>
        <w:tc>
          <w:tcPr>
            <w:tcW w:w="0" w:type="auto"/>
            <w:shd w:val="clear"/>
            <w:vAlign w:val="center"/>
          </w:tcPr>
          <w:p w14:paraId="15EB5C03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127" w:type="dxa"/>
            <w:shd w:val="clear"/>
            <w:vAlign w:val="center"/>
          </w:tcPr>
          <w:p w14:paraId="65AD0D90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≥3"（76 mm）至 10"（254 mm）</w:t>
            </w:r>
          </w:p>
        </w:tc>
        <w:tc>
          <w:tcPr>
            <w:tcW w:w="1138" w:type="dxa"/>
            <w:shd w:val="clear"/>
            <w:vAlign w:val="center"/>
          </w:tcPr>
          <w:p w14:paraId="23D3B5B7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横向</w:t>
            </w:r>
          </w:p>
        </w:tc>
        <w:tc>
          <w:tcPr>
            <w:tcW w:w="0" w:type="auto"/>
            <w:shd w:val="clear"/>
            <w:vAlign w:val="center"/>
          </w:tcPr>
          <w:p w14:paraId="576F4787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35 ft-lb (47 J)</w:t>
            </w:r>
          </w:p>
        </w:tc>
        <w:tc>
          <w:tcPr>
            <w:tcW w:w="0" w:type="auto"/>
            <w:shd w:val="clear"/>
            <w:vAlign w:val="center"/>
          </w:tcPr>
          <w:p w14:paraId="1C068EF4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32 ft-lb (43 J)</w:t>
            </w:r>
          </w:p>
        </w:tc>
        <w:tc>
          <w:tcPr>
            <w:tcW w:w="0" w:type="auto"/>
            <w:shd w:val="clear"/>
            <w:vAlign w:val="center"/>
          </w:tcPr>
          <w:p w14:paraId="01491334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0.015" (0.38 mm)</w:t>
            </w:r>
          </w:p>
        </w:tc>
      </w:tr>
      <w:tr w14:paraId="43772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  <w:tblCellSpacing w:w="15" w:type="dxa"/>
        </w:trPr>
        <w:tc>
          <w:tcPr>
            <w:tcW w:w="0" w:type="auto"/>
            <w:shd w:val="clear"/>
            <w:vAlign w:val="center"/>
          </w:tcPr>
          <w:p w14:paraId="77AA0E76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127" w:type="dxa"/>
            <w:shd w:val="clear"/>
            <w:vAlign w:val="center"/>
          </w:tcPr>
          <w:p w14:paraId="48FDE874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&gt;10"（254 mm）</w:t>
            </w:r>
          </w:p>
        </w:tc>
        <w:tc>
          <w:tcPr>
            <w:tcW w:w="1138" w:type="dxa"/>
            <w:shd w:val="clear"/>
            <w:vAlign w:val="center"/>
          </w:tcPr>
          <w:p w14:paraId="28CA6160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横向</w:t>
            </w:r>
          </w:p>
        </w:tc>
        <w:tc>
          <w:tcPr>
            <w:tcW w:w="0" w:type="auto"/>
            <w:shd w:val="clear"/>
            <w:vAlign w:val="center"/>
          </w:tcPr>
          <w:p w14:paraId="03FF772A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35 ft-lb (47 J)</w:t>
            </w:r>
          </w:p>
        </w:tc>
        <w:tc>
          <w:tcPr>
            <w:tcW w:w="0" w:type="auto"/>
            <w:shd w:val="clear"/>
            <w:vAlign w:val="center"/>
          </w:tcPr>
          <w:p w14:paraId="496089DF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32 ft-lb (43 J)</w:t>
            </w:r>
          </w:p>
        </w:tc>
        <w:tc>
          <w:tcPr>
            <w:tcW w:w="0" w:type="auto"/>
            <w:shd w:val="clear"/>
            <w:vAlign w:val="center"/>
          </w:tcPr>
          <w:p w14:paraId="7FDEE84A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0.015" (0.38 mm)</w:t>
            </w:r>
          </w:p>
        </w:tc>
      </w:tr>
    </w:tbl>
    <w:p w14:paraId="74B4720E">
      <w:pPr>
        <w:rPr>
          <w:rFonts w:hint="default"/>
          <w:lang w:val="en-US" w:eastAsia="zh-CN"/>
        </w:rPr>
      </w:pPr>
    </w:p>
    <w:p w14:paraId="2C2605D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其中：QTC = Qualification Test Coupon（资格试验试样/认证试样）</w:t>
      </w:r>
    </w:p>
    <w:p w14:paraId="55E1A4E8">
      <w:pPr>
        <w:rPr>
          <w:rFonts w:hint="default"/>
          <w:lang w:val="en-US" w:eastAsia="zh-CN"/>
        </w:rPr>
      </w:pPr>
    </w:p>
    <w:p w14:paraId="6475C37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2.4 宏观组织和微观组织</w:t>
      </w:r>
    </w:p>
    <w:p w14:paraId="6490D9D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API 6ACRA 中规定了 4 类宏观组织特征（macrostructural features），并规定了相应的验收标准。同时，API 6ACRA 还规定了以下微观组织的验收要求，并提供了相应的代表性显微组织照片：</w:t>
      </w:r>
    </w:p>
    <w:p w14:paraId="11A2E875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晶粒度：No. 2 或更细</w:t>
      </w:r>
      <w:r>
        <w:rPr>
          <w:rFonts w:hint="eastAsia"/>
          <w:lang w:val="en-US" w:eastAsia="zh-CN"/>
        </w:rPr>
        <w:t>。</w:t>
      </w:r>
    </w:p>
    <w:p w14:paraId="06379EA8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双相组织（Duplex）：不允许</w:t>
      </w:r>
      <w:r>
        <w:rPr>
          <w:rFonts w:hint="eastAsia"/>
          <w:lang w:val="en-US" w:eastAsia="zh-CN"/>
        </w:rPr>
        <w:t>。</w:t>
      </w:r>
    </w:p>
    <w:p w14:paraId="568995A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有害相（Deleterious Phases）：</w:t>
      </w:r>
    </w:p>
    <w:p w14:paraId="4B5C693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不允许存在针状相（acicular phases）</w:t>
      </w:r>
    </w:p>
    <w:p w14:paraId="43BE3AA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不允许存在连续网络状组织（continuous networks）</w:t>
      </w:r>
    </w:p>
    <w:p w14:paraId="1543A56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不允许存在 Laves 相</w:t>
      </w:r>
    </w:p>
    <w:p w14:paraId="00C2C9E3">
      <w:pPr>
        <w:rPr>
          <w:rFonts w:hint="default"/>
          <w:lang w:val="en-US" w:eastAsia="zh-CN"/>
        </w:rPr>
      </w:pPr>
    </w:p>
    <w:p w14:paraId="22A7EEF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2.5 热处理要求</w:t>
      </w:r>
    </w:p>
    <w:p w14:paraId="32DA540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材料应按照 API 6A CRA 的要求进行固溶退火（Solution Annealing）+ 时效硬化（Age Hardening）并应满足 NACE 的相关要求。</w:t>
      </w:r>
    </w:p>
    <w:p w14:paraId="7B56E9AD">
      <w:pPr>
        <w:rPr>
          <w:rFonts w:hint="default"/>
          <w:lang w:val="en-US" w:eastAsia="zh-CN"/>
        </w:rPr>
      </w:pPr>
    </w:p>
    <w:p w14:paraId="3549EF3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2.5.1 固溶退火（Solution Annealing）</w:t>
      </w:r>
    </w:p>
    <w:p w14:paraId="08AA79D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温度：1825–1925°F（996–1052°C）</w:t>
      </w:r>
      <w:r>
        <w:rPr>
          <w:rFonts w:hint="eastAsia"/>
          <w:lang w:val="en-US" w:eastAsia="zh-CN"/>
        </w:rPr>
        <w:t>,</w:t>
      </w:r>
      <w:r>
        <w:rPr>
          <w:rFonts w:hint="default"/>
          <w:lang w:val="en-US" w:eastAsia="zh-CN"/>
        </w:rPr>
        <w:t>保温时间：0.5–4小时ᵇ</w:t>
      </w:r>
    </w:p>
    <w:p w14:paraId="7B1E18B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2.5.2 时效硬化（Age Hardening）</w:t>
      </w:r>
    </w:p>
    <w:p w14:paraId="55C9EDD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第一阶段：1325–1400°F（718–760°C）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保温：4–9小时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然后炉冷至：1125–1220°F（607–660°C）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并继续保温，使总时效时间不少于12小时</w:t>
      </w:r>
      <w:r>
        <w:rPr>
          <w:rFonts w:hint="eastAsia"/>
          <w:vertAlign w:val="superscript"/>
          <w:lang w:val="en-US" w:eastAsia="zh-CN"/>
        </w:rPr>
        <w:t>c</w:t>
      </w:r>
      <w:r>
        <w:rPr>
          <w:rFonts w:hint="default"/>
          <w:lang w:val="en-US" w:eastAsia="zh-CN"/>
        </w:rPr>
        <w:t>。</w:t>
      </w:r>
    </w:p>
    <w:p w14:paraId="5609AA6C">
      <w:pPr>
        <w:rPr>
          <w:rFonts w:hint="default"/>
          <w:lang w:val="en-US" w:eastAsia="zh-CN"/>
        </w:rPr>
      </w:pPr>
    </w:p>
    <w:p w14:paraId="3ACCB36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注释 b</w:t>
      </w:r>
    </w:p>
    <w:p w14:paraId="4E89D4C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冷却方式可以采用：空冷（air）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惰性气体冷却（inert gas）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水冷（water）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聚合物冷却（polymer）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油冷（oil）冷却至环境温度。对于厚度超过3英寸（76.2 mm）的材料，如果采用空冷或惰性气体冷却，必须获得买方、制造商和最终用户三方同意。</w:t>
      </w:r>
    </w:p>
    <w:p w14:paraId="48DCEC54">
      <w:pPr>
        <w:rPr>
          <w:rFonts w:hint="default"/>
          <w:lang w:val="en-US" w:eastAsia="zh-CN"/>
        </w:rPr>
      </w:pPr>
    </w:p>
    <w:p w14:paraId="331617F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注释 c</w:t>
      </w:r>
    </w:p>
    <w:p w14:paraId="2044BC6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同样可以采用：空冷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惰性气体冷却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水冷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聚合物冷却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油冷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冷却至环境温度。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T636t0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T616t0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54144F3"/>
    <w:rsid w:val="0D6B65B1"/>
    <w:rsid w:val="1BD87507"/>
    <w:rsid w:val="1F881244"/>
    <w:rsid w:val="266876DA"/>
    <w:rsid w:val="26695200"/>
    <w:rsid w:val="37C4673A"/>
    <w:rsid w:val="439B05C3"/>
    <w:rsid w:val="44C22253"/>
    <w:rsid w:val="59350DEE"/>
    <w:rsid w:val="64B96D77"/>
    <w:rsid w:val="67642FCA"/>
    <w:rsid w:val="7640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彭琼茜</dc:creator>
  <cp:lastModifiedBy>Lindsey Peng</cp:lastModifiedBy>
  <dcterms:modified xsi:type="dcterms:W3CDTF">2026-08-26T05:43:50Z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eyJoZGlkIjoiMzUwYjA2MGVjYWUxZmUyYThiNDFlZGMzN2Q1YTU1YjMiLCJ1c2VySWQiOiIyMjk3MDI4ODIifQ==</vt:lpwstr>
  </property>
  <property fmtid="{D5CDD505-2E9C-101B-9397-08002B2CF9AE}" pid="4" name="ICV">
    <vt:lpwstr>9551C505D9754C668BAEAF42BFEE5DA3_12</vt:lpwstr>
  </property>
</Properties>
</file>