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 w:cs="Times New Roman"/>
          <w:b/>
          <w:color w:val="FFFFFF"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eastAsia="黑体" w:cs="Times New Roman"/>
          <w:b/>
          <w:color w:val="FFFFFF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19050</wp:posOffset>
            </wp:positionV>
            <wp:extent cx="2560320" cy="419100"/>
            <wp:effectExtent l="0" t="0" r="0" b="0"/>
            <wp:wrapNone/>
            <wp:docPr id="1" name="图片 1" descr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黑体" w:cs="Times New Roman"/>
          <w:b/>
          <w:color w:val="FFFFFF"/>
          <w:sz w:val="36"/>
          <w:szCs w:val="36"/>
        </w:rPr>
        <w:t xml:space="preserve"> POE交换机-S系列</w:t>
      </w:r>
    </w:p>
    <w:p>
      <w:pPr>
        <w:spacing w:before="156" w:beforeLines="50" w:after="156" w:afterLines="50"/>
        <w:outlineLvl w:val="1"/>
        <w:rPr>
          <w:rFonts w:ascii="宋体" w:hAnsi="宋体" w:eastAsia="宋体" w:cs="Times New Roman"/>
          <w:b/>
          <w:bCs/>
          <w:sz w:val="24"/>
          <w:szCs w:val="24"/>
          <w:highlight w:val="lightGray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highlight w:val="lightGray"/>
        </w:rPr>
        <w:t>产品简介</w:t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DS-3E系列POE交换机支持5/8/16/24口百兆PoE电口，可通过网线直接供电，PoE自适应802.3af和802.3at标准，整机PoE最大输出功率为58/120/230/370W，通过普通的5类双绞线即可为AP、IP摄像头、IP电话等PoE受电设备同时传输电力和数据。</w:t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设备支持网络延长（EXTEND）模式，开启后，使用超五类及以上网线时，对应端口的数据传输和供电距离最远可达250米；PoE支持8芯供电技术，有效降低电源线路损耗；支持重要端口数据保障功能，对于重点区域的数据或视频，优先保证及传输。</w:t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整机全金属设计，结构坚固、使用方便，可靠性好，适用于园区、楼宇等多种监控场景。</w:t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/>
          <w:sz w:val="16"/>
          <w:szCs w:val="16"/>
        </w:rPr>
        <w:drawing>
          <wp:inline distT="0" distB="0" distL="0" distR="0">
            <wp:extent cx="2451100" cy="567055"/>
            <wp:effectExtent l="0" t="0" r="6350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firstLine="420"/>
      </w:pPr>
      <w:r>
        <w:rPr>
          <w:rFonts w:hint="eastAsia" w:asciiTheme="minorEastAsia" w:hAnsiTheme="minorEastAsia"/>
          <w:sz w:val="16"/>
          <w:szCs w:val="16"/>
        </w:rPr>
        <w:t>DS-3E0105P-S</w:t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/>
          <w:sz w:val="16"/>
          <w:szCs w:val="16"/>
        </w:rPr>
        <w:drawing>
          <wp:inline distT="0" distB="0" distL="0" distR="0">
            <wp:extent cx="4438015" cy="615950"/>
            <wp:effectExtent l="0" t="0" r="63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801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DS-3E0109P-S</w:t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/>
          <w:sz w:val="16"/>
          <w:szCs w:val="16"/>
        </w:rPr>
        <w:drawing>
          <wp:inline distT="0" distB="0" distL="0" distR="0">
            <wp:extent cx="5487035" cy="76200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703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DS-3E0318P-S</w:t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asciiTheme="minorEastAsia" w:hAnsiTheme="minorEastAsia"/>
          <w:sz w:val="16"/>
          <w:szCs w:val="16"/>
        </w:rPr>
        <w:drawing>
          <wp:inline distT="0" distB="0" distL="0" distR="0">
            <wp:extent cx="5487035" cy="7620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703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DS-3E0326P-S</w:t>
      </w:r>
    </w:p>
    <w:p>
      <w:pPr>
        <w:spacing w:before="156" w:beforeLines="50" w:after="156" w:afterLines="50"/>
        <w:outlineLvl w:val="1"/>
        <w:rPr>
          <w:rFonts w:ascii="宋体" w:hAnsi="宋体" w:eastAsia="宋体" w:cs="Times New Roman"/>
          <w:b/>
          <w:bCs/>
          <w:sz w:val="24"/>
          <w:szCs w:val="24"/>
          <w:highlight w:val="lightGray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highlight w:val="lightGray"/>
        </w:rPr>
        <w:t>订货型号</w:t>
      </w:r>
    </w:p>
    <w:tbl>
      <w:tblPr>
        <w:tblStyle w:val="5"/>
        <w:tblW w:w="79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47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96" w:hRule="atLeast"/>
          <w:jc w:val="center"/>
        </w:trPr>
        <w:tc>
          <w:tcPr>
            <w:tcW w:w="1477" w:type="dxa"/>
            <w:shd w:val="clear" w:color="auto" w:fill="A6A6A6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hint="eastAsia" w:asciiTheme="minorEastAsia" w:hAnsiTheme="minorEastAsia"/>
                <w:sz w:val="16"/>
                <w:szCs w:val="16"/>
              </w:rPr>
              <w:t>型号</w:t>
            </w:r>
          </w:p>
        </w:tc>
        <w:tc>
          <w:tcPr>
            <w:tcW w:w="6520" w:type="dxa"/>
            <w:shd w:val="clear" w:color="auto" w:fill="A6A6A6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hint="eastAsia" w:asciiTheme="minorEastAsia" w:hAnsiTheme="minorEastAsia"/>
                <w:sz w:val="16"/>
                <w:szCs w:val="16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88" w:hRule="atLeast"/>
          <w:jc w:val="center"/>
        </w:trPr>
        <w:tc>
          <w:tcPr>
            <w:tcW w:w="1477" w:type="dxa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DS-3E0105P-S</w:t>
            </w:r>
          </w:p>
        </w:tc>
        <w:tc>
          <w:tcPr>
            <w:tcW w:w="6520" w:type="dxa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5口百兆非网管型PoE交换机，4百兆PoE电口，1百兆电口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88" w:hRule="atLeast"/>
          <w:jc w:val="center"/>
        </w:trPr>
        <w:tc>
          <w:tcPr>
            <w:tcW w:w="1477" w:type="dxa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DS-3E0109P-S</w:t>
            </w:r>
          </w:p>
        </w:tc>
        <w:tc>
          <w:tcPr>
            <w:tcW w:w="6520" w:type="dxa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9口百兆非网管型PoE交换机，8百兆PoE电口，1百兆电口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88" w:hRule="atLeast"/>
          <w:jc w:val="center"/>
        </w:trPr>
        <w:tc>
          <w:tcPr>
            <w:tcW w:w="1477" w:type="dxa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DS-3E0318P-S</w:t>
            </w:r>
          </w:p>
        </w:tc>
        <w:tc>
          <w:tcPr>
            <w:tcW w:w="6520" w:type="dxa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16+2G百兆非网管型PoE交换机，16百兆PoE电口，2千兆COMBO口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88" w:hRule="atLeast"/>
          <w:jc w:val="center"/>
        </w:trPr>
        <w:tc>
          <w:tcPr>
            <w:tcW w:w="1477" w:type="dxa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DS-3E0326P-S</w:t>
            </w:r>
          </w:p>
        </w:tc>
        <w:tc>
          <w:tcPr>
            <w:tcW w:w="6520" w:type="dxa"/>
          </w:tcPr>
          <w:p>
            <w:pPr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/>
                <w:sz w:val="16"/>
                <w:szCs w:val="16"/>
              </w:rPr>
              <w:t>24+2G百兆非网管型PoE交换机，24百兆PoE电口，2千兆COMBO口</w:t>
            </w:r>
          </w:p>
        </w:tc>
      </w:tr>
    </w:tbl>
    <w:p>
      <w:pPr>
        <w:spacing w:before="156" w:beforeLines="50" w:after="156" w:afterLines="50"/>
        <w:outlineLvl w:val="1"/>
        <w:rPr>
          <w:rFonts w:ascii="宋体" w:hAnsi="宋体" w:eastAsia="宋体" w:cs="Times New Roman"/>
          <w:b/>
          <w:bCs/>
          <w:sz w:val="24"/>
          <w:szCs w:val="24"/>
          <w:highlight w:val="lightGray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highlight w:val="lightGray"/>
        </w:rPr>
        <w:t>功能特性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支持</w:t>
      </w:r>
      <w:r>
        <w:rPr>
          <w:rFonts w:asciiTheme="minorEastAsia" w:hAnsiTheme="minorEastAsia"/>
          <w:sz w:val="16"/>
          <w:szCs w:val="16"/>
        </w:rPr>
        <w:t>802.3af/at PoE</w:t>
      </w:r>
      <w:r>
        <w:rPr>
          <w:rFonts w:hint="eastAsia" w:asciiTheme="minorEastAsia" w:hAnsiTheme="minorEastAsia"/>
          <w:sz w:val="16"/>
          <w:szCs w:val="16"/>
        </w:rPr>
        <w:t>标准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支持</w:t>
      </w:r>
      <w:r>
        <w:rPr>
          <w:rFonts w:asciiTheme="minorEastAsia" w:hAnsiTheme="minorEastAsia"/>
          <w:sz w:val="16"/>
          <w:szCs w:val="16"/>
        </w:rPr>
        <w:t>PoE 8</w:t>
      </w:r>
      <w:r>
        <w:rPr>
          <w:rFonts w:hint="eastAsia" w:asciiTheme="minorEastAsia" w:hAnsiTheme="minorEastAsia"/>
          <w:sz w:val="16"/>
          <w:szCs w:val="16"/>
        </w:rPr>
        <w:t>芯供电技术，降低网线电源损耗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支持重要端口数据保障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支持</w:t>
      </w:r>
      <w:r>
        <w:rPr>
          <w:rFonts w:asciiTheme="minorEastAsia" w:hAnsiTheme="minorEastAsia"/>
          <w:sz w:val="16"/>
          <w:szCs w:val="16"/>
        </w:rPr>
        <w:t>EXTEND</w:t>
      </w:r>
      <w:r>
        <w:rPr>
          <w:rFonts w:hint="eastAsia" w:asciiTheme="minorEastAsia" w:hAnsiTheme="minorEastAsia"/>
          <w:sz w:val="16"/>
          <w:szCs w:val="16"/>
        </w:rPr>
        <w:t>模式，延长网线传输至</w:t>
      </w:r>
      <w:r>
        <w:rPr>
          <w:rFonts w:asciiTheme="minorEastAsia" w:hAnsiTheme="minorEastAsia"/>
          <w:sz w:val="16"/>
          <w:szCs w:val="16"/>
        </w:rPr>
        <w:t>250m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支持</w:t>
      </w:r>
      <w:r>
        <w:rPr>
          <w:rFonts w:asciiTheme="minorEastAsia" w:hAnsiTheme="minorEastAsia"/>
          <w:sz w:val="16"/>
          <w:szCs w:val="16"/>
        </w:rPr>
        <w:t>buffer</w:t>
      </w:r>
      <w:r>
        <w:rPr>
          <w:rFonts w:hint="eastAsia" w:asciiTheme="minorEastAsia" w:hAnsiTheme="minorEastAsia"/>
          <w:sz w:val="16"/>
          <w:szCs w:val="16"/>
        </w:rPr>
        <w:t>优化，保证视频数据传输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存储转发交换方式；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支持</w:t>
      </w:r>
      <w:r>
        <w:rPr>
          <w:rFonts w:asciiTheme="minorEastAsia" w:hAnsiTheme="minorEastAsia"/>
          <w:sz w:val="16"/>
          <w:szCs w:val="16"/>
        </w:rPr>
        <w:t>IEEE802.3</w:t>
      </w:r>
      <w:r>
        <w:rPr>
          <w:rFonts w:hint="eastAsia" w:asciiTheme="minorEastAsia" w:hAnsiTheme="minorEastAsia"/>
          <w:sz w:val="16"/>
          <w:szCs w:val="16"/>
        </w:rPr>
        <w:t>、</w:t>
      </w:r>
      <w:r>
        <w:rPr>
          <w:rFonts w:asciiTheme="minorEastAsia" w:hAnsiTheme="minorEastAsia"/>
          <w:sz w:val="16"/>
          <w:szCs w:val="16"/>
        </w:rPr>
        <w:t>IEEE802.3u</w:t>
      </w:r>
      <w:r>
        <w:rPr>
          <w:rFonts w:hint="eastAsia" w:asciiTheme="minorEastAsia" w:hAnsiTheme="minorEastAsia"/>
          <w:sz w:val="16"/>
          <w:szCs w:val="16"/>
        </w:rPr>
        <w:t>、</w:t>
      </w:r>
      <w:r>
        <w:rPr>
          <w:rFonts w:asciiTheme="minorEastAsia" w:hAnsiTheme="minorEastAsia"/>
          <w:sz w:val="16"/>
          <w:szCs w:val="16"/>
        </w:rPr>
        <w:t>IEEE802.3x</w:t>
      </w:r>
      <w:r>
        <w:rPr>
          <w:rFonts w:hint="eastAsia" w:asciiTheme="minorEastAsia" w:hAnsiTheme="minorEastAsia"/>
          <w:sz w:val="16"/>
          <w:szCs w:val="16"/>
        </w:rPr>
        <w:t>网络标准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平均无故障时间</w:t>
      </w:r>
      <w:r>
        <w:rPr>
          <w:rFonts w:asciiTheme="minorEastAsia" w:hAnsiTheme="minorEastAsia"/>
          <w:sz w:val="16"/>
          <w:szCs w:val="16"/>
        </w:rPr>
        <w:t>MTBF</w:t>
      </w:r>
      <w:r>
        <w:rPr>
          <w:rFonts w:hint="eastAsia" w:asciiTheme="minorEastAsia" w:hAnsiTheme="minorEastAsia"/>
          <w:sz w:val="16"/>
          <w:szCs w:val="16"/>
        </w:rPr>
        <w:t>≥</w:t>
      </w:r>
      <w:r>
        <w:rPr>
          <w:rFonts w:asciiTheme="minorEastAsia" w:hAnsiTheme="minorEastAsia"/>
          <w:sz w:val="16"/>
          <w:szCs w:val="16"/>
        </w:rPr>
        <w:t>10</w:t>
      </w:r>
      <w:r>
        <w:rPr>
          <w:rFonts w:hint="eastAsia" w:asciiTheme="minorEastAsia" w:hAnsiTheme="minorEastAsia"/>
          <w:sz w:val="16"/>
          <w:szCs w:val="16"/>
        </w:rPr>
        <w:t>万小时；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全金属封闭结构；</w:t>
      </w:r>
    </w:p>
    <w:p>
      <w:pPr>
        <w:pStyle w:val="12"/>
        <w:numPr>
          <w:ilvl w:val="0"/>
          <w:numId w:val="1"/>
        </w:numPr>
        <w:ind w:firstLineChars="0"/>
        <w:rPr>
          <w:rFonts w:asciiTheme="minorEastAsia" w:hAnsiTheme="minorEastAsia"/>
          <w:sz w:val="16"/>
          <w:szCs w:val="16"/>
        </w:rPr>
      </w:pPr>
      <w:r>
        <w:rPr>
          <w:rFonts w:hint="eastAsia" w:asciiTheme="minorEastAsia" w:hAnsiTheme="minorEastAsia"/>
          <w:sz w:val="16"/>
          <w:szCs w:val="16"/>
        </w:rPr>
        <w:t>桌面、机架式设计</w:t>
      </w:r>
      <w:r>
        <w:rPr>
          <w:rFonts w:asciiTheme="minorEastAsia" w:hAnsiTheme="minorEastAsia"/>
          <w:sz w:val="16"/>
          <w:szCs w:val="16"/>
        </w:rPr>
        <w:t>,</w:t>
      </w:r>
      <w:r>
        <w:rPr>
          <w:rFonts w:hint="eastAsia" w:asciiTheme="minorEastAsia" w:hAnsiTheme="minorEastAsia"/>
          <w:sz w:val="16"/>
          <w:szCs w:val="16"/>
        </w:rPr>
        <w:t>安装简便</w:t>
      </w:r>
    </w:p>
    <w:p>
      <w:pPr>
        <w:spacing w:before="156" w:beforeLines="50" w:after="156" w:afterLines="50"/>
        <w:outlineLvl w:val="1"/>
        <w:rPr>
          <w:rFonts w:ascii="宋体" w:hAnsi="宋体" w:eastAsia="宋体" w:cs="Times New Roman"/>
          <w:b/>
          <w:bCs/>
          <w:sz w:val="24"/>
          <w:szCs w:val="24"/>
          <w:highlight w:val="lightGray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  <w:highlight w:val="lightGray"/>
        </w:rPr>
        <w:t>技术参数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1530"/>
        <w:gridCol w:w="1681"/>
        <w:gridCol w:w="1656"/>
        <w:gridCol w:w="38"/>
        <w:gridCol w:w="1569"/>
        <w:gridCol w:w="21"/>
        <w:gridCol w:w="22"/>
        <w:gridCol w:w="15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2274" w:type="dxa"/>
            <w:gridSpan w:val="2"/>
            <w:shd w:val="clear" w:color="auto" w:fill="D8D8D8" w:themeFill="background1" w:themeFillShade="D9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产品型号</w:t>
            </w:r>
          </w:p>
        </w:tc>
        <w:tc>
          <w:tcPr>
            <w:tcW w:w="1681" w:type="dxa"/>
            <w:shd w:val="clear" w:color="auto" w:fill="D8D8D8" w:themeFill="background1" w:themeFillShade="D9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DS-3E0105P-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S</w:t>
            </w:r>
          </w:p>
        </w:tc>
        <w:tc>
          <w:tcPr>
            <w:tcW w:w="1656" w:type="dxa"/>
            <w:shd w:val="clear" w:color="auto" w:fill="D8D8D8" w:themeFill="background1" w:themeFillShade="D9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DS-3E0109P-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S</w:t>
            </w:r>
          </w:p>
        </w:tc>
        <w:tc>
          <w:tcPr>
            <w:tcW w:w="1628" w:type="dxa"/>
            <w:gridSpan w:val="3"/>
            <w:shd w:val="clear" w:color="auto" w:fill="D8D8D8" w:themeFill="background1" w:themeFillShade="D9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DS-3E0318P-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S</w:t>
            </w:r>
          </w:p>
        </w:tc>
        <w:tc>
          <w:tcPr>
            <w:tcW w:w="1599" w:type="dxa"/>
            <w:gridSpan w:val="2"/>
            <w:shd w:val="clear" w:color="auto" w:fill="D8D8D8" w:themeFill="background1" w:themeFillShade="D9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DS-3E0326P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-S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restart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端口</w:t>
            </w: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10/100M RJ45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5</w:t>
            </w:r>
          </w:p>
        </w:tc>
        <w:tc>
          <w:tcPr>
            <w:tcW w:w="1656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9</w:t>
            </w:r>
          </w:p>
        </w:tc>
        <w:tc>
          <w:tcPr>
            <w:tcW w:w="1628" w:type="dxa"/>
            <w:gridSpan w:val="3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16</w:t>
            </w:r>
          </w:p>
        </w:tc>
        <w:tc>
          <w:tcPr>
            <w:tcW w:w="1599" w:type="dxa"/>
            <w:gridSpan w:val="2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10/100/1000M RJ45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/</w:t>
            </w:r>
          </w:p>
        </w:tc>
        <w:tc>
          <w:tcPr>
            <w:tcW w:w="1656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/</w:t>
            </w:r>
          </w:p>
        </w:tc>
        <w:tc>
          <w:tcPr>
            <w:tcW w:w="1628" w:type="dxa"/>
            <w:gridSpan w:val="3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2</w:t>
            </w:r>
          </w:p>
        </w:tc>
        <w:tc>
          <w:tcPr>
            <w:tcW w:w="1599" w:type="dxa"/>
            <w:gridSpan w:val="2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1000M SFP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/</w:t>
            </w:r>
          </w:p>
        </w:tc>
        <w:tc>
          <w:tcPr>
            <w:tcW w:w="1656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/</w:t>
            </w:r>
          </w:p>
        </w:tc>
        <w:tc>
          <w:tcPr>
            <w:tcW w:w="1628" w:type="dxa"/>
            <w:gridSpan w:val="3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2个（复用）</w:t>
            </w:r>
          </w:p>
        </w:tc>
        <w:tc>
          <w:tcPr>
            <w:tcW w:w="1599" w:type="dxa"/>
            <w:gridSpan w:val="2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2个（复用）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高优先级端口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Port 1</w:t>
            </w:r>
          </w:p>
        </w:tc>
        <w:tc>
          <w:tcPr>
            <w:tcW w:w="1656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Port 1~2</w:t>
            </w:r>
          </w:p>
        </w:tc>
        <w:tc>
          <w:tcPr>
            <w:tcW w:w="1628" w:type="dxa"/>
            <w:gridSpan w:val="3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Port 1~8</w:t>
            </w:r>
          </w:p>
        </w:tc>
        <w:tc>
          <w:tcPr>
            <w:tcW w:w="1599" w:type="dxa"/>
            <w:gridSpan w:val="2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Port 1~8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restart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性能</w:t>
            </w: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存储转发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支持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MAC地址表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1K</w:t>
            </w:r>
          </w:p>
        </w:tc>
        <w:tc>
          <w:tcPr>
            <w:tcW w:w="4883" w:type="dxa"/>
            <w:gridSpan w:val="6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4K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MAC地址学习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自动学习/老化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背板带宽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1Gbps</w:t>
            </w:r>
          </w:p>
        </w:tc>
        <w:tc>
          <w:tcPr>
            <w:tcW w:w="1694" w:type="dxa"/>
            <w:gridSpan w:val="2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1.8Gbps</w:t>
            </w:r>
          </w:p>
        </w:tc>
        <w:tc>
          <w:tcPr>
            <w:tcW w:w="1569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7.2Gbps</w:t>
            </w:r>
          </w:p>
        </w:tc>
        <w:tc>
          <w:tcPr>
            <w:tcW w:w="1620" w:type="dxa"/>
            <w:gridSpan w:val="3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8.8Gbps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2274" w:type="dxa"/>
            <w:gridSpan w:val="2"/>
            <w:shd w:val="clear" w:color="auto" w:fill="BEBEBE" w:themeFill="background1" w:themeFillShade="BF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重量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＜0.9kg</w:t>
            </w:r>
          </w:p>
        </w:tc>
        <w:tc>
          <w:tcPr>
            <w:tcW w:w="1694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＜1.39kg</w:t>
            </w:r>
          </w:p>
        </w:tc>
        <w:tc>
          <w:tcPr>
            <w:tcW w:w="1569" w:type="dxa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＜5.01kg</w:t>
            </w:r>
          </w:p>
        </w:tc>
        <w:tc>
          <w:tcPr>
            <w:tcW w:w="1620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＜5.58kg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2274" w:type="dxa"/>
            <w:gridSpan w:val="2"/>
            <w:shd w:val="clear" w:color="auto" w:fill="BEBEBE" w:themeFill="background1" w:themeFillShade="BF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产品尺寸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  <w:t>132*93.3*27.6mm</w:t>
            </w:r>
          </w:p>
        </w:tc>
        <w:tc>
          <w:tcPr>
            <w:tcW w:w="1694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  <w:t>235*103*27mm</w:t>
            </w:r>
          </w:p>
        </w:tc>
        <w:tc>
          <w:tcPr>
            <w:tcW w:w="1569" w:type="dxa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  <w:t>440*284.8*44mm</w:t>
            </w:r>
          </w:p>
        </w:tc>
        <w:tc>
          <w:tcPr>
            <w:tcW w:w="1620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  <w:t>440*284.8*44mm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2274" w:type="dxa"/>
            <w:gridSpan w:val="2"/>
            <w:shd w:val="clear" w:color="auto" w:fill="BEBEBE" w:themeFill="background1" w:themeFillShade="BF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标准机架高度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asciiTheme="minorEastAsia" w:hAnsiTheme="minorEastAsia" w:eastAsiaTheme="minorEastAsia" w:cstheme="minorBidi"/>
                <w:kern w:val="2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1U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restart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E</w:t>
            </w: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供电</w:t>
            </w: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PoE供电标准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IEEE 802.3af、IEEE802.3at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PoE供电线芯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支持8芯供电，采用网线的1236和4578线序同时供电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PoE端口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Port 1~4</w:t>
            </w:r>
          </w:p>
        </w:tc>
        <w:tc>
          <w:tcPr>
            <w:tcW w:w="1694" w:type="dxa"/>
            <w:gridSpan w:val="2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Port 1~8</w:t>
            </w:r>
          </w:p>
        </w:tc>
        <w:tc>
          <w:tcPr>
            <w:tcW w:w="1612" w:type="dxa"/>
            <w:gridSpan w:val="3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Port 1~16</w:t>
            </w:r>
          </w:p>
        </w:tc>
        <w:tc>
          <w:tcPr>
            <w:tcW w:w="1577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Port 1~24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端口最大供电功率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30W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POE</w:t>
            </w: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最大供电功率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/整机最大功率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58W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/63W</w:t>
            </w:r>
          </w:p>
        </w:tc>
        <w:tc>
          <w:tcPr>
            <w:tcW w:w="1694" w:type="dxa"/>
            <w:gridSpan w:val="2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120W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/127W</w:t>
            </w:r>
          </w:p>
        </w:tc>
        <w:tc>
          <w:tcPr>
            <w:tcW w:w="1612" w:type="dxa"/>
            <w:gridSpan w:val="3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230W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/250W</w:t>
            </w:r>
          </w:p>
        </w:tc>
        <w:tc>
          <w:tcPr>
            <w:tcW w:w="1577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370W</w:t>
            </w:r>
            <w:r>
              <w:rPr>
                <w:rFonts w:hint="eastAsia" w:eastAsia="宋体" w:asciiTheme="minorEastAsia" w:hAnsiTheme="minorEastAsia" w:cstheme="minorBidi"/>
                <w:kern w:val="2"/>
                <w:sz w:val="16"/>
                <w:szCs w:val="16"/>
              </w:rPr>
              <w:t>/440W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2274" w:type="dxa"/>
            <w:gridSpan w:val="2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网络延长模式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支持，通过EXTEND开关实现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744" w:type="dxa"/>
            <w:vMerge w:val="restart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防雷等级</w:t>
            </w: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端口防雷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4KV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电源防雷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4KV</w:t>
            </w:r>
          </w:p>
        </w:tc>
        <w:tc>
          <w:tcPr>
            <w:tcW w:w="1694" w:type="dxa"/>
            <w:gridSpan w:val="2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2KV</w:t>
            </w:r>
          </w:p>
        </w:tc>
        <w:tc>
          <w:tcPr>
            <w:tcW w:w="3189" w:type="dxa"/>
            <w:gridSpan w:val="4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6KV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2274" w:type="dxa"/>
            <w:gridSpan w:val="2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电源</w:t>
            </w:r>
          </w:p>
        </w:tc>
        <w:tc>
          <w:tcPr>
            <w:tcW w:w="1681" w:type="dxa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51V DC，1.25A</w:t>
            </w:r>
          </w:p>
        </w:tc>
        <w:tc>
          <w:tcPr>
            <w:tcW w:w="1694" w:type="dxa"/>
            <w:gridSpan w:val="2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51V DC，2.5A</w:t>
            </w:r>
          </w:p>
        </w:tc>
        <w:tc>
          <w:tcPr>
            <w:tcW w:w="3189" w:type="dxa"/>
            <w:gridSpan w:val="4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100~240V AC，50/60Hz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restart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使用环境</w:t>
            </w: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工作环境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工作温度：0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℃</w:t>
            </w: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～40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℃</w:t>
            </w:r>
          </w:p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工作湿度：10%～90% RH不凝结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744" w:type="dxa"/>
            <w:vMerge w:val="continue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存储环境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存储温度：-40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℃</w:t>
            </w: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～70</w:t>
            </w:r>
            <w:r>
              <w:rPr>
                <w:rFonts w:hint="eastAsia" w:asciiTheme="minorEastAsia" w:hAnsiTheme="minorEastAsia" w:eastAsiaTheme="minorEastAsia" w:cstheme="minorBidi"/>
                <w:kern w:val="2"/>
                <w:sz w:val="16"/>
                <w:szCs w:val="16"/>
              </w:rPr>
              <w:t>℃</w:t>
            </w:r>
          </w:p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存储湿度：5%～90% RH不凝结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2274" w:type="dxa"/>
            <w:gridSpan w:val="2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数据传输速率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以太网：10Mbps（半双工）/20Mbps（全双工）</w:t>
            </w:r>
          </w:p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快速以太网：100Mbps（半双工）/200Mbps（全双工）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2274" w:type="dxa"/>
            <w:gridSpan w:val="2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网络介质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以太网：3类或以上UTP/STP</w:t>
            </w:r>
          </w:p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快速以太网：5类或以上UTP/STP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2274" w:type="dxa"/>
            <w:gridSpan w:val="2"/>
            <w:shd w:val="clear" w:color="auto" w:fill="BEBEBE" w:themeFill="background1" w:themeFillShade="BF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网络标准</w:t>
            </w:r>
          </w:p>
        </w:tc>
        <w:tc>
          <w:tcPr>
            <w:tcW w:w="6564" w:type="dxa"/>
            <w:gridSpan w:val="7"/>
            <w:vAlign w:val="center"/>
          </w:tcPr>
          <w:p>
            <w:pP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</w:pPr>
            <w:r>
              <w:rPr>
                <w:rFonts w:eastAsia="宋体" w:asciiTheme="minorEastAsia" w:hAnsiTheme="minorEastAsia" w:cstheme="minorBidi"/>
                <w:kern w:val="2"/>
                <w:sz w:val="16"/>
                <w:szCs w:val="16"/>
              </w:rPr>
              <w:t>IEEE 802.3、IEEE 802.3u、IEEE 802.3af、IEEE802.3at、IEEE 802.3x</w:t>
            </w:r>
          </w:p>
        </w:tc>
      </w:tr>
    </w:tbl>
    <w:p/>
    <w:sectPr>
      <w:headerReference r:id="rId3" w:type="default"/>
      <w:footerReference r:id="rId4" w:type="default"/>
      <w:pgSz w:w="11906" w:h="16838"/>
      <w:pgMar w:top="1440" w:right="1588" w:bottom="1440" w:left="1588" w:header="851" w:footer="73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autoSpaceDE w:val="0"/>
      <w:autoSpaceDN w:val="0"/>
      <w:adjustRightInd w:val="0"/>
      <w:spacing w:before="80" w:after="80" w:line="300" w:lineRule="auto"/>
    </w:pPr>
    <w:r>
      <w:drawing>
        <wp:inline distT="0" distB="0" distL="0" distR="0">
          <wp:extent cx="5274310" cy="409575"/>
          <wp:effectExtent l="0" t="0" r="2540" b="9525"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  <w:r>
      <w:drawing>
        <wp:inline distT="0" distB="0" distL="0" distR="0">
          <wp:extent cx="1609725" cy="209550"/>
          <wp:effectExtent l="19050" t="0" r="9525" b="0"/>
          <wp:docPr id="3" name="图片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9725" cy="209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C78A3"/>
    <w:multiLevelType w:val="multilevel"/>
    <w:tmpl w:val="089C78A3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D5D"/>
    <w:rsid w:val="00050C59"/>
    <w:rsid w:val="00066056"/>
    <w:rsid w:val="00070D4A"/>
    <w:rsid w:val="00086C37"/>
    <w:rsid w:val="000B4EB7"/>
    <w:rsid w:val="000C3628"/>
    <w:rsid w:val="000F081F"/>
    <w:rsid w:val="0015154F"/>
    <w:rsid w:val="001570E1"/>
    <w:rsid w:val="001664B7"/>
    <w:rsid w:val="001A28E2"/>
    <w:rsid w:val="001A3803"/>
    <w:rsid w:val="001B4D72"/>
    <w:rsid w:val="001F5271"/>
    <w:rsid w:val="002121DB"/>
    <w:rsid w:val="00214D05"/>
    <w:rsid w:val="002300B4"/>
    <w:rsid w:val="002436F0"/>
    <w:rsid w:val="00246A02"/>
    <w:rsid w:val="002542DA"/>
    <w:rsid w:val="00262D0E"/>
    <w:rsid w:val="0026596C"/>
    <w:rsid w:val="002A1EB5"/>
    <w:rsid w:val="002D62D3"/>
    <w:rsid w:val="002F6F6B"/>
    <w:rsid w:val="003036EA"/>
    <w:rsid w:val="00307227"/>
    <w:rsid w:val="003309E0"/>
    <w:rsid w:val="0036181D"/>
    <w:rsid w:val="00370AD4"/>
    <w:rsid w:val="003830C9"/>
    <w:rsid w:val="003908F9"/>
    <w:rsid w:val="003B08EC"/>
    <w:rsid w:val="003B3706"/>
    <w:rsid w:val="003B52C9"/>
    <w:rsid w:val="003B60B3"/>
    <w:rsid w:val="003E6314"/>
    <w:rsid w:val="003F37A7"/>
    <w:rsid w:val="0040413D"/>
    <w:rsid w:val="00424423"/>
    <w:rsid w:val="00441C61"/>
    <w:rsid w:val="00455FAF"/>
    <w:rsid w:val="00461350"/>
    <w:rsid w:val="004C771A"/>
    <w:rsid w:val="004D5AF9"/>
    <w:rsid w:val="004E2F89"/>
    <w:rsid w:val="004E4FB2"/>
    <w:rsid w:val="00505680"/>
    <w:rsid w:val="005106A4"/>
    <w:rsid w:val="00512A90"/>
    <w:rsid w:val="00521E6E"/>
    <w:rsid w:val="00523B72"/>
    <w:rsid w:val="005411B4"/>
    <w:rsid w:val="00553318"/>
    <w:rsid w:val="005B12B2"/>
    <w:rsid w:val="005B143A"/>
    <w:rsid w:val="005B374E"/>
    <w:rsid w:val="005B688E"/>
    <w:rsid w:val="005E14C8"/>
    <w:rsid w:val="005E434E"/>
    <w:rsid w:val="005F273C"/>
    <w:rsid w:val="0060661B"/>
    <w:rsid w:val="0061191E"/>
    <w:rsid w:val="006202E4"/>
    <w:rsid w:val="00636E17"/>
    <w:rsid w:val="00645FB8"/>
    <w:rsid w:val="006537AC"/>
    <w:rsid w:val="00657FE0"/>
    <w:rsid w:val="00677D5D"/>
    <w:rsid w:val="00683129"/>
    <w:rsid w:val="00690D51"/>
    <w:rsid w:val="00694EFE"/>
    <w:rsid w:val="006F70C6"/>
    <w:rsid w:val="00721516"/>
    <w:rsid w:val="00786AD1"/>
    <w:rsid w:val="007D6F09"/>
    <w:rsid w:val="007E663E"/>
    <w:rsid w:val="00835AA6"/>
    <w:rsid w:val="0085501C"/>
    <w:rsid w:val="00893EFE"/>
    <w:rsid w:val="008A29D2"/>
    <w:rsid w:val="008D237A"/>
    <w:rsid w:val="00910375"/>
    <w:rsid w:val="0091498B"/>
    <w:rsid w:val="00921337"/>
    <w:rsid w:val="00926787"/>
    <w:rsid w:val="009705E2"/>
    <w:rsid w:val="009C5288"/>
    <w:rsid w:val="009F5B5C"/>
    <w:rsid w:val="00A36658"/>
    <w:rsid w:val="00A9133C"/>
    <w:rsid w:val="00A93D5A"/>
    <w:rsid w:val="00AA18F2"/>
    <w:rsid w:val="00AB07DF"/>
    <w:rsid w:val="00B032DB"/>
    <w:rsid w:val="00B25C3D"/>
    <w:rsid w:val="00B8545A"/>
    <w:rsid w:val="00B93598"/>
    <w:rsid w:val="00BB654D"/>
    <w:rsid w:val="00BC0923"/>
    <w:rsid w:val="00BC0EC8"/>
    <w:rsid w:val="00BC74CC"/>
    <w:rsid w:val="00BD2269"/>
    <w:rsid w:val="00C15E9A"/>
    <w:rsid w:val="00C17C22"/>
    <w:rsid w:val="00C46278"/>
    <w:rsid w:val="00C4722A"/>
    <w:rsid w:val="00C7629F"/>
    <w:rsid w:val="00C93ED4"/>
    <w:rsid w:val="00CA31FD"/>
    <w:rsid w:val="00CE1611"/>
    <w:rsid w:val="00CE5B5D"/>
    <w:rsid w:val="00CF3EE2"/>
    <w:rsid w:val="00D236EB"/>
    <w:rsid w:val="00D35F6A"/>
    <w:rsid w:val="00DA67A1"/>
    <w:rsid w:val="00DB2BC1"/>
    <w:rsid w:val="00DC2C0C"/>
    <w:rsid w:val="00DD5D14"/>
    <w:rsid w:val="00E442A5"/>
    <w:rsid w:val="00E50453"/>
    <w:rsid w:val="00E5294F"/>
    <w:rsid w:val="00E8093E"/>
    <w:rsid w:val="00E84748"/>
    <w:rsid w:val="00EC1A70"/>
    <w:rsid w:val="00EC303B"/>
    <w:rsid w:val="00EF50F9"/>
    <w:rsid w:val="00F15235"/>
    <w:rsid w:val="00F812B1"/>
    <w:rsid w:val="00F8170C"/>
    <w:rsid w:val="00F907ED"/>
    <w:rsid w:val="00F9117A"/>
    <w:rsid w:val="00F91449"/>
    <w:rsid w:val="00FA603C"/>
    <w:rsid w:val="00FB4433"/>
    <w:rsid w:val="00FC01FB"/>
    <w:rsid w:val="00FF56AD"/>
    <w:rsid w:val="0934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  <w:style w:type="paragraph" w:customStyle="1" w:styleId="11">
    <w:name w:val="正文小标题"/>
    <w:basedOn w:val="1"/>
    <w:qFormat/>
    <w:uiPriority w:val="0"/>
    <w:pPr>
      <w:spacing w:beforeLines="50" w:afterLines="50"/>
    </w:pPr>
    <w:rPr>
      <w:b/>
      <w:szCs w:val="21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255</Words>
  <Characters>1458</Characters>
  <Lines>12</Lines>
  <Paragraphs>3</Paragraphs>
  <TotalTime>29</TotalTime>
  <ScaleCrop>false</ScaleCrop>
  <LinksUpToDate>false</LinksUpToDate>
  <CharactersWithSpaces>1710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2017-07-21T01:24:00Z</dcterms:created>
  <dc:creator>魏步法</dc:creator>
  <cp:lastModifiedBy>♂伟可*可</cp:lastModifiedBy>
  <cp:lastPrinted>2018-11-19T06:32:00Z</cp:lastPrinted>
  <dcterms:modified xsi:type="dcterms:W3CDTF">2020-08-03T10:36:04Z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